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77" w:rsidRPr="00E03791" w:rsidRDefault="00AE6B77">
      <w:pPr>
        <w:spacing w:after="0" w:line="24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AE6B77" w:rsidRPr="00E03791" w:rsidRDefault="006C79DB">
      <w:pPr>
        <w:spacing w:after="0" w:line="240" w:lineRule="auto"/>
        <w:jc w:val="center"/>
        <w:rPr>
          <w:rFonts w:asciiTheme="minorHAnsi" w:hAnsiTheme="minorHAnsi"/>
        </w:rPr>
      </w:pPr>
      <w:r w:rsidRPr="00E03791">
        <w:rPr>
          <w:rFonts w:asciiTheme="minorHAnsi" w:hAnsiTheme="minorHAnsi" w:cs="Arial"/>
          <w:b/>
        </w:rPr>
        <w:t>ПРОЕКТНА ЗАДАЧА  ToR 0</w:t>
      </w:r>
      <w:r w:rsidRPr="00E03791">
        <w:rPr>
          <w:rFonts w:asciiTheme="minorHAnsi" w:hAnsiTheme="minorHAnsi" w:cs="Arial"/>
          <w:b/>
          <w:lang w:val="en-US"/>
        </w:rPr>
        <w:t>6</w:t>
      </w:r>
      <w:r w:rsidRPr="00E03791">
        <w:rPr>
          <w:rFonts w:asciiTheme="minorHAnsi" w:hAnsiTheme="minorHAnsi" w:cs="Arial"/>
          <w:b/>
        </w:rPr>
        <w:t>/2016</w:t>
      </w:r>
    </w:p>
    <w:p w:rsidR="00AE6B77" w:rsidRPr="00B9711F" w:rsidRDefault="006C79DB" w:rsidP="00B9711F">
      <w:pPr>
        <w:ind w:left="284"/>
        <w:jc w:val="center"/>
        <w:rPr>
          <w:b/>
        </w:rPr>
      </w:pPr>
      <w:r w:rsidRPr="00E03791">
        <w:rPr>
          <w:rFonts w:asciiTheme="minorHAnsi" w:hAnsiTheme="minorHAnsi" w:cs="Arial"/>
          <w:b/>
        </w:rPr>
        <w:t xml:space="preserve">КОНСУЛТАНТСКА КУЌА </w:t>
      </w:r>
      <w:r w:rsidR="00B9711F">
        <w:rPr>
          <w:rFonts w:asciiTheme="minorHAnsi" w:hAnsiTheme="minorHAnsi" w:cs="Arial"/>
          <w:b/>
        </w:rPr>
        <w:t>(</w:t>
      </w:r>
      <w:r w:rsidRPr="00E03791">
        <w:rPr>
          <w:rFonts w:asciiTheme="minorHAnsi" w:hAnsiTheme="minorHAnsi" w:cs="Arial"/>
          <w:b/>
        </w:rPr>
        <w:t>ШЕСТ ЕКСПЕРТИ</w:t>
      </w:r>
      <w:r w:rsidR="00B9711F">
        <w:rPr>
          <w:rFonts w:asciiTheme="minorHAnsi" w:hAnsiTheme="minorHAnsi" w:cs="Arial"/>
          <w:b/>
        </w:rPr>
        <w:t>)</w:t>
      </w:r>
      <w:r w:rsidR="00B9711F" w:rsidRPr="00B9711F">
        <w:t xml:space="preserve"> </w:t>
      </w:r>
      <w:r w:rsidR="00B9711F" w:rsidRPr="00B9711F">
        <w:rPr>
          <w:b/>
        </w:rPr>
        <w:t xml:space="preserve">ЗА ЈАКНЕЊЕ НА КАПАЦИТЕТИТЕ </w:t>
      </w:r>
      <w:r w:rsidR="00B9711F">
        <w:rPr>
          <w:b/>
        </w:rPr>
        <w:t xml:space="preserve">                                   </w:t>
      </w:r>
      <w:r w:rsidR="00B9711F" w:rsidRPr="00B9711F">
        <w:rPr>
          <w:b/>
        </w:rPr>
        <w:t>НА ГРАЃАНСКИТЕ ОРГАНИЗАЦИИ</w:t>
      </w:r>
    </w:p>
    <w:p w:rsidR="007649B3" w:rsidRPr="00E03791" w:rsidRDefault="007649B3" w:rsidP="001B448A">
      <w:pPr>
        <w:ind w:left="284"/>
        <w:rPr>
          <w:rFonts w:asciiTheme="minorHAnsi" w:hAnsiTheme="minorHAnsi" w:cs="Arial"/>
          <w:b/>
        </w:rPr>
      </w:pPr>
    </w:p>
    <w:p w:rsidR="00AE6B77" w:rsidRPr="00E03791" w:rsidRDefault="006C79DB" w:rsidP="001B448A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E03791">
        <w:rPr>
          <w:rFonts w:asciiTheme="minorHAnsi" w:hAnsiTheme="minorHAnsi" w:cs="Arial"/>
          <w:b/>
        </w:rPr>
        <w:t>ВОВЕД</w:t>
      </w:r>
    </w:p>
    <w:p w:rsidR="00AE6B77" w:rsidRPr="00E03791" w:rsidRDefault="00AE6B77">
      <w:pPr>
        <w:pStyle w:val="ListParagraph"/>
        <w:spacing w:after="0" w:line="240" w:lineRule="auto"/>
        <w:ind w:left="420"/>
        <w:jc w:val="both"/>
        <w:rPr>
          <w:rFonts w:asciiTheme="minorHAnsi" w:hAnsiTheme="minorHAnsi" w:cs="Arial"/>
          <w:b/>
          <w:lang w:val="mk-MK"/>
        </w:rPr>
      </w:pPr>
    </w:p>
    <w:p w:rsidR="00AE6B77" w:rsidRPr="00E03791" w:rsidRDefault="006C79DB">
      <w:pPr>
        <w:numPr>
          <w:ilvl w:val="1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  <w:b/>
        </w:rPr>
      </w:pPr>
      <w:r w:rsidRPr="00E03791">
        <w:rPr>
          <w:rFonts w:asciiTheme="minorHAnsi" w:hAnsiTheme="minorHAnsi" w:cs="Arial"/>
          <w:b/>
        </w:rPr>
        <w:t>Позадина на задачата</w:t>
      </w:r>
    </w:p>
    <w:p w:rsidR="00AE6B77" w:rsidRPr="00E03791" w:rsidRDefault="00AE6B77">
      <w:pPr>
        <w:spacing w:after="0" w:line="240" w:lineRule="auto"/>
        <w:rPr>
          <w:rFonts w:asciiTheme="minorHAnsi" w:hAnsiTheme="minorHAnsi" w:cs="Arial"/>
        </w:rPr>
      </w:pP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</w:rPr>
        <w:t xml:space="preserve">„Истражувачко новинарство – чувар на демократијата и човековите права“ е проект чија што генерална цел е да ги зајакне медиумите и граѓанските организации и да овозможи амбиент за остварување на слободата на изразување и медиумски интегритет како клучен елемент за понатамошна поддршка на Р.М. во процесот на пристапување во Европска Унија (ЕУ). Специфични цели на проектот се: </w:t>
      </w:r>
    </w:p>
    <w:p w:rsidR="00AE6B77" w:rsidRPr="00E03791" w:rsidRDefault="00AE6B77">
      <w:pPr>
        <w:spacing w:after="0" w:line="240" w:lineRule="auto"/>
        <w:ind w:firstLine="720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lang w:val="mk-MK"/>
        </w:rPr>
        <w:t xml:space="preserve">да се подобрат условите за квалитетно истражувачко новинарство </w:t>
      </w:r>
      <w:r w:rsidR="003A51F0" w:rsidRPr="00E03791">
        <w:rPr>
          <w:rFonts w:asciiTheme="minorHAnsi" w:hAnsiTheme="minorHAnsi" w:cs="Arial"/>
          <w:lang w:val="mk-MK"/>
        </w:rPr>
        <w:t xml:space="preserve">кое ќе биде </w:t>
      </w:r>
      <w:r w:rsidRPr="00E03791">
        <w:rPr>
          <w:rFonts w:asciiTheme="minorHAnsi" w:hAnsiTheme="minorHAnsi" w:cs="Arial"/>
          <w:lang w:val="mk-MK"/>
        </w:rPr>
        <w:t>достојно за доверба</w:t>
      </w:r>
      <w:r w:rsidR="003A51F0" w:rsidRPr="00E03791">
        <w:rPr>
          <w:rFonts w:asciiTheme="minorHAnsi" w:hAnsiTheme="minorHAnsi" w:cs="Arial"/>
          <w:lang w:val="mk-MK"/>
        </w:rPr>
        <w:t xml:space="preserve"> и </w:t>
      </w:r>
      <w:r w:rsidRPr="00E03791">
        <w:rPr>
          <w:rFonts w:asciiTheme="minorHAnsi" w:hAnsiTheme="minorHAnsi" w:cs="Arial"/>
          <w:lang w:val="mk-MK"/>
        </w:rPr>
        <w:t xml:space="preserve">на располагање на граѓаните во областа на човековите права и судството (Поглавје 23 и 24 од правото на ЕУ); </w:t>
      </w:r>
    </w:p>
    <w:p w:rsidR="00AE6B77" w:rsidRPr="00E03791" w:rsidRDefault="006C79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 xml:space="preserve">Да се зголемат капацитетите на граѓанските организации кои работат во областа на слободата на изразување и медиумите, подобрување на нивното влијание врз процесот на креирање политики во однос на слободата на медиумите и да се подобри нивната соработка преку воспоставување на платформа за дијалог; </w:t>
      </w:r>
    </w:p>
    <w:p w:rsidR="00AE6B77" w:rsidRPr="00E03791" w:rsidRDefault="006C79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>Да се придонесе кон овозможување на правна, регулативна и политичка клима за остварување на слободата на изразување и медиумскиот интегритет.</w:t>
      </w:r>
    </w:p>
    <w:p w:rsidR="00AE6B77" w:rsidRPr="00E03791" w:rsidRDefault="00AE6B77">
      <w:pPr>
        <w:spacing w:after="0" w:line="240" w:lineRule="auto"/>
        <w:ind w:firstLine="720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spacing w:after="0" w:line="240" w:lineRule="auto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</w:rPr>
        <w:t>Во насока на остварувањето на поставените цели</w:t>
      </w:r>
      <w:r w:rsidR="003A51F0" w:rsidRPr="00E03791">
        <w:rPr>
          <w:rFonts w:asciiTheme="minorHAnsi" w:hAnsiTheme="minorHAnsi" w:cs="Arial"/>
        </w:rPr>
        <w:t>,</w:t>
      </w:r>
      <w:r w:rsidRPr="00E03791">
        <w:rPr>
          <w:rFonts w:asciiTheme="minorHAnsi" w:hAnsiTheme="minorHAnsi" w:cs="Arial"/>
        </w:rPr>
        <w:t xml:space="preserve"> согласно проектот ќе бидат преземени повеќе проектни активности, кои се очекува дека ќе ги дадат следниве резултати: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 xml:space="preserve">Подобрени услови кои ќе обезбедат квалитет во истражувачкото новинарство преку современи/иновативни пристапи во областа на човековите права и судството (Поглавје 23 и 24); 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 xml:space="preserve">Зголемен медиумски интегритет и зголемена професионалноста на новинарите и медиумските здруженија; 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 xml:space="preserve">Зголемени капацитетите на граѓанските организации кои работат во областа на слободата на изразување и медиумите; 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>Засилено влијание врз процесот на креирање политики кои се однесуваат  на слободата на медиумите, како и подобрување на нивната соработка преку воспоставена платформа за дијалог;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lang w:val="mk-MK"/>
        </w:rPr>
        <w:t xml:space="preserve">Стимулирана побарувачка на квалитетно новинарство од страна на јавноста; </w:t>
      </w:r>
    </w:p>
    <w:p w:rsidR="00AE6B77" w:rsidRPr="00E03791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 xml:space="preserve">Зголемена медиумска писменост и разбирањето на улогата на професионалното и етичкото новинарство во off-line и онлајн медиумите; </w:t>
      </w:r>
    </w:p>
    <w:p w:rsidR="00AE6B77" w:rsidRDefault="006C79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lang w:val="mk-MK"/>
        </w:rPr>
      </w:pPr>
      <w:r w:rsidRPr="00E03791">
        <w:rPr>
          <w:rFonts w:asciiTheme="minorHAnsi" w:hAnsiTheme="minorHAnsi" w:cs="Arial"/>
          <w:lang w:val="mk-MK"/>
        </w:rPr>
        <w:t>Континуитет на усвоените политики и законски предлози во согласност со начелата на ЕУ за „квалитет на законот" предвидени во судската пракса на Eвропскиот суд за човекови права (ЕСЧП) и индикаторите наведени во резолуциите на Советот на Европа кои ги лоцираат недостатоците.</w:t>
      </w:r>
    </w:p>
    <w:p w:rsidR="00E03791" w:rsidRPr="00E03791" w:rsidRDefault="00E03791" w:rsidP="00E03791">
      <w:pPr>
        <w:pStyle w:val="ListParagraph"/>
        <w:spacing w:after="0" w:line="240" w:lineRule="auto"/>
        <w:ind w:left="1095"/>
        <w:jc w:val="both"/>
        <w:rPr>
          <w:rFonts w:asciiTheme="minorHAnsi" w:hAnsiTheme="minorHAnsi" w:cs="Arial"/>
          <w:lang w:val="mk-MK"/>
        </w:rPr>
      </w:pPr>
    </w:p>
    <w:p w:rsidR="00AE6B77" w:rsidRPr="00E03791" w:rsidRDefault="006C79DB">
      <w:pPr>
        <w:numPr>
          <w:ilvl w:val="1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  <w:b/>
        </w:rPr>
      </w:pPr>
      <w:r w:rsidRPr="00E03791">
        <w:rPr>
          <w:rFonts w:asciiTheme="minorHAnsi" w:hAnsiTheme="minorHAnsi" w:cs="Arial"/>
          <w:b/>
        </w:rPr>
        <w:t>Позадина на проектот „Истражувачко новинарство – чувар на демократијата и човековите права“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</w:rPr>
        <w:t xml:space="preserve">Проектот „Истражувачко новинарство – чувар на демократијата и човековите права“ е финансиран од Делегацијата на ЕУ во Македонија во рамките на програмата </w:t>
      </w:r>
      <w:r w:rsidRPr="00E03791">
        <w:rPr>
          <w:rFonts w:asciiTheme="minorHAnsi" w:hAnsiTheme="minorHAnsi" w:cs="Arial"/>
          <w:i/>
        </w:rPr>
        <w:t xml:space="preserve">IPA Civil Society Facility and Media Programme 2014 </w:t>
      </w:r>
      <w:r w:rsidRPr="00E03791">
        <w:rPr>
          <w:rFonts w:asciiTheme="minorHAnsi" w:hAnsiTheme="minorHAnsi" w:cs="Arial"/>
        </w:rPr>
        <w:t>и кофинансиран од Британската амбасада во Скопје</w:t>
      </w:r>
      <w:r w:rsidRPr="00E03791">
        <w:rPr>
          <w:rFonts w:asciiTheme="minorHAnsi" w:hAnsiTheme="minorHAnsi" w:cs="Arial"/>
          <w:i/>
        </w:rPr>
        <w:t>,</w:t>
      </w:r>
      <w:r w:rsidRPr="00E03791">
        <w:rPr>
          <w:rFonts w:asciiTheme="minorHAnsi" w:hAnsiTheme="minorHAnsi" w:cs="Arial"/>
        </w:rPr>
        <w:t xml:space="preserve"> и е спроведуван од страна на  Центарот за управување со промени во партнерство со Институтот за човекови права. Проектот е фокусиран на имплементацијата на целите утврдени во Повикот за предлози и тоа: да се зголеми влијанието на граѓанските организации и да се подобри интегритетот на медиумите преку нивно вклучување во јавните политики што ќе придонесат за понатамошен развој и унапредување на граѓанскиот дијалог, посилен и активен придонес во креирањето на политиките и активности на набљудување, како и унапредување на истражувачкото новинарство.</w:t>
      </w: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</w:rPr>
        <w:t>Активностите на проектот се внимателно поставени за да се одговори на потребата за подобрување на условите за обезбедување на квалитет во истражувачкото новинарство и да ги охрабри невладините организации, студентите по новинарство, како и сите професионални новинари, да ја практикуваат слободата на изразување и слободата на медиумите, и да го подобрат влијанието врз процесот на креирање политики во врска со истата.</w:t>
      </w:r>
    </w:p>
    <w:p w:rsidR="00AE6B77" w:rsidRPr="00E03791" w:rsidRDefault="006C79DB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</w:rPr>
        <w:tab/>
      </w: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b/>
        </w:rPr>
        <w:t>Центарот за управување со промени</w:t>
      </w:r>
      <w:r w:rsidRPr="00E03791">
        <w:rPr>
          <w:rFonts w:asciiTheme="minorHAnsi" w:hAnsiTheme="minorHAnsi" w:cs="Arial"/>
        </w:rPr>
        <w:t xml:space="preserve"> (ЦУП) е главниот спроведувач  на проектот и е think-tank организација лоцирана во Скопје, Македонија, која работи и имплементира проекти кои имаат за цел да придонесат за развој на македонското општество и регионот. ЦУП промовира разбирање и ненасилни промени и се фокусира на меки мерки и политики кои им помагаат на различни ентитети да ги прифатат општествените промени како нормални ситуации и да ги претворат во позитивни резултати. ЦУП има повеќе години работно искуство со различни државни институции, граѓански организации во Македонија и широка соработка со граѓанскиот и бизнис секторот дома и во странство. </w:t>
      </w:r>
    </w:p>
    <w:p w:rsidR="00AE6B77" w:rsidRPr="00E03791" w:rsidRDefault="006C79DB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b/>
        </w:rPr>
        <w:t>Институтот за човекови права</w:t>
      </w:r>
      <w:r w:rsidRPr="00E03791">
        <w:rPr>
          <w:rFonts w:asciiTheme="minorHAnsi" w:hAnsiTheme="minorHAnsi" w:cs="Arial"/>
        </w:rPr>
        <w:t xml:space="preserve"> (ИЧП) е партнер во имплементацијата на проектот и е здружение на граѓани лоцирано во Скопје, основано во 2009г. со цел промовирање, унапредување и заштитата на човековите права и слободи преку континуирана едукација на професионалната јавност и анализа на состојбите, организирање на стручни дискусии во рамките на правната професија и дискусии за општата јавност со цел зајакнување на капацитетите и механизмите за промовирање, гарантирање и заштита на човековите слободи и права. ИЧП ги остварува своите активности во соработка со државни органи и институции, граѓански организации од Р.М. како и регионални и меѓународни институции и организации од областа на заштитата на човековите права.  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1B448A" w:rsidRPr="00E03791" w:rsidRDefault="001B448A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AE6B77" w:rsidRPr="00E03791" w:rsidRDefault="006C79DB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2. РАМКА НА ЗАДАЧАТА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AE6B77" w:rsidRPr="00E03791" w:rsidRDefault="006C79DB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2.1. Цел на мисијата/задачата</w:t>
      </w:r>
    </w:p>
    <w:p w:rsidR="00AE6B77" w:rsidRPr="00E03791" w:rsidRDefault="00AE6B77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</w:p>
    <w:p w:rsidR="00AE6B77" w:rsidRPr="00E03791" w:rsidRDefault="006C79DB">
      <w:pPr>
        <w:pStyle w:val="Normalvovlecen"/>
        <w:spacing w:line="240" w:lineRule="auto"/>
        <w:ind w:firstLine="720"/>
        <w:jc w:val="both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Генералната цел на задачата е да се обезбеди овозможувачка и поддржувачка средина за истражувачко новинарство во еден поврзан и меѓусебно зависен свет и што поголем број граѓани да бидат запознаени и свесни за придобивките и потребата од слободата на изразување. </w:t>
      </w:r>
    </w:p>
    <w:p w:rsidR="00AE6B77" w:rsidRPr="00E03791" w:rsidRDefault="006C79DB" w:rsidP="001B448A">
      <w:pPr>
        <w:pStyle w:val="Normalvovlecen"/>
        <w:spacing w:line="240" w:lineRule="auto"/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r w:rsidRPr="00B9711F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 xml:space="preserve">Конкретната цел на задачата е да се ангажира консултантска куќа која преку 6  експерти ќе спроведе 3 дводневни обуки. </w:t>
      </w: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Овие обуки ќе бидат спроведени со цел запознавање </w:t>
      </w: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lastRenderedPageBreak/>
        <w:t xml:space="preserve">на претставниците на </w:t>
      </w:r>
      <w:r w:rsidR="00C2176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8 (осум) </w:t>
      </w: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ГО</w:t>
      </w:r>
      <w:r w:rsidR="00C21761">
        <w:rPr>
          <w:rFonts w:asciiTheme="minorHAnsi" w:hAnsiTheme="minorHAnsi" w:cs="Arial"/>
          <w:color w:val="000000"/>
          <w:sz w:val="22"/>
          <w:szCs w:val="22"/>
          <w:lang w:val="mk-MK"/>
        </w:rPr>
        <w:t>, кои се корисници на мали грантови во рамки на проектот (понатаму: грантисти),</w:t>
      </w: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 со темите поврзани со проектот Истражувачко новинарство – чувар на демократијата и човековите права и ќе послужат за градење на нивните капацитети </w:t>
      </w:r>
      <w:r w:rsidR="00CC69CF"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во промовирање на истражувачкото новинарство</w:t>
      </w:r>
      <w:r w:rsidR="00C21761">
        <w:rPr>
          <w:rFonts w:asciiTheme="minorHAnsi" w:hAnsiTheme="minorHAnsi" w:cs="Arial"/>
          <w:color w:val="000000"/>
          <w:sz w:val="22"/>
          <w:szCs w:val="22"/>
          <w:lang w:val="mk-MK"/>
        </w:rPr>
        <w:t xml:space="preserve">, но и за </w:t>
      </w: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унапредување на работата и внатрешното управување во ГО.</w:t>
      </w:r>
    </w:p>
    <w:p w:rsidR="00AE6B77" w:rsidRPr="00E03791" w:rsidRDefault="00AE6B77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</w:p>
    <w:p w:rsidR="00AE6B77" w:rsidRPr="00E03791" w:rsidRDefault="006C79DB" w:rsidP="001B448A">
      <w:pPr>
        <w:spacing w:after="0" w:line="240" w:lineRule="auto"/>
        <w:outlineLvl w:val="0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2.2. Очекувани резултати и активности на мисијата</w:t>
      </w:r>
      <w:r w:rsidRPr="00E03791">
        <w:rPr>
          <w:rFonts w:asciiTheme="minorHAnsi" w:hAnsiTheme="minorHAnsi" w:cs="Arial"/>
          <w:b/>
          <w:color w:val="000000"/>
        </w:rPr>
        <w:br/>
      </w:r>
    </w:p>
    <w:p w:rsidR="00AE6B77" w:rsidRPr="00B9711F" w:rsidRDefault="006C79DB">
      <w:pPr>
        <w:tabs>
          <w:tab w:val="left" w:pos="7075"/>
        </w:tabs>
        <w:spacing w:after="0" w:line="240" w:lineRule="auto"/>
        <w:jc w:val="both"/>
        <w:rPr>
          <w:rFonts w:asciiTheme="minorHAnsi" w:hAnsiTheme="minorHAnsi"/>
          <w:b/>
        </w:rPr>
      </w:pPr>
      <w:r w:rsidRPr="00B9711F">
        <w:rPr>
          <w:rFonts w:asciiTheme="minorHAnsi" w:hAnsiTheme="minorHAnsi" w:cs="Arial"/>
          <w:b/>
          <w:color w:val="000000"/>
        </w:rPr>
        <w:t>Од консултантската куќа која ќе биде ангажирана се очекува да понуди 6 обучувачи кои е потребно да  ги испорачаат следниве резултати</w:t>
      </w:r>
      <w:r w:rsidRPr="00B9711F">
        <w:rPr>
          <w:rFonts w:asciiTheme="minorHAnsi" w:hAnsiTheme="minorHAnsi" w:cs="Arial"/>
          <w:b/>
          <w:color w:val="000000"/>
          <w:lang w:val="en-US"/>
        </w:rPr>
        <w:t>: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6C79DB">
      <w:p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</w:rPr>
        <w:t xml:space="preserve">а) Да подготват методологија во која ќе ги опфатат подготвителните активности за одржување на обуката како и методите кои ќе ги користат при работа, особено дизајнирањето, спроведувањето и евалуацијата на обуките во однос на целната група. 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6C79DB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  <w:highlight w:val="yellow"/>
          <w:lang w:val="en-US"/>
        </w:rPr>
      </w:pPr>
      <w:r w:rsidRPr="00E03791">
        <w:rPr>
          <w:rFonts w:asciiTheme="minorHAnsi" w:hAnsiTheme="minorHAnsi" w:cs="Arial"/>
          <w:color w:val="000000"/>
        </w:rPr>
        <w:t xml:space="preserve">б) Да испорачаат </w:t>
      </w:r>
      <w:r w:rsidRPr="00B9711F">
        <w:rPr>
          <w:rFonts w:asciiTheme="minorHAnsi" w:hAnsiTheme="minorHAnsi" w:cs="Arial"/>
          <w:b/>
          <w:color w:val="000000"/>
        </w:rPr>
        <w:t>три дводневни обуки</w:t>
      </w:r>
      <w:r w:rsidRPr="00E03791">
        <w:rPr>
          <w:rFonts w:asciiTheme="minorHAnsi" w:hAnsiTheme="minorHAnsi" w:cs="Arial"/>
          <w:color w:val="000000"/>
        </w:rPr>
        <w:t xml:space="preserve"> на </w:t>
      </w:r>
      <w:r w:rsidR="00CC69CF" w:rsidRPr="00E03791">
        <w:rPr>
          <w:rFonts w:asciiTheme="minorHAnsi" w:hAnsiTheme="minorHAnsi" w:cs="Arial"/>
          <w:color w:val="000000"/>
        </w:rPr>
        <w:t xml:space="preserve">следните </w:t>
      </w:r>
      <w:r w:rsidRPr="00E03791">
        <w:rPr>
          <w:rFonts w:asciiTheme="minorHAnsi" w:hAnsiTheme="minorHAnsi" w:cs="Arial"/>
          <w:color w:val="000000"/>
        </w:rPr>
        <w:t>теми</w:t>
      </w:r>
      <w:r w:rsidRPr="00E03791">
        <w:rPr>
          <w:rFonts w:asciiTheme="minorHAnsi" w:hAnsiTheme="minorHAnsi" w:cs="Arial"/>
          <w:color w:val="000000"/>
          <w:lang w:val="en-US"/>
        </w:rPr>
        <w:t xml:space="preserve">: 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6C79DB" w:rsidP="001B448A">
      <w:pPr>
        <w:numPr>
          <w:ilvl w:val="0"/>
          <w:numId w:val="9"/>
        </w:num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</w:rPr>
        <w:t>Прва обука</w:t>
      </w:r>
      <w:r w:rsidRPr="00E03791">
        <w:rPr>
          <w:rFonts w:asciiTheme="minorHAnsi" w:hAnsiTheme="minorHAnsi" w:cs="Arial"/>
          <w:color w:val="000000"/>
          <w:lang w:val="en-US"/>
        </w:rPr>
        <w:t xml:space="preserve">: истражувачко новинарство, </w:t>
      </w:r>
      <w:r w:rsidRPr="00E03791">
        <w:rPr>
          <w:rFonts w:asciiTheme="minorHAnsi" w:hAnsiTheme="minorHAnsi" w:cs="Arial"/>
          <w:color w:val="000000"/>
        </w:rPr>
        <w:t>слобода на изразување, човекови права и правосудство и пишување на –документи за јавни политики.</w:t>
      </w:r>
    </w:p>
    <w:p w:rsidR="00AE6B77" w:rsidRPr="00E03791" w:rsidRDefault="006C79DB" w:rsidP="001B448A">
      <w:pPr>
        <w:pStyle w:val="ListParagraph"/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</w:rPr>
        <w:t xml:space="preserve">Ова се теми преку кои грантистите ќе бидат обучени за вредноста на слободата на изразување и нејзиното практично ползување, </w:t>
      </w:r>
      <w:r w:rsidR="00CC69CF" w:rsidRPr="00E03791">
        <w:rPr>
          <w:rFonts w:asciiTheme="minorHAnsi" w:hAnsiTheme="minorHAnsi" w:cs="Arial"/>
          <w:color w:val="000000"/>
        </w:rPr>
        <w:t xml:space="preserve">методи на истражувачкото новинарство, </w:t>
      </w:r>
      <w:r w:rsidRPr="00E03791">
        <w:rPr>
          <w:rFonts w:asciiTheme="minorHAnsi" w:hAnsiTheme="minorHAnsi" w:cs="Arial"/>
          <w:color w:val="000000"/>
        </w:rPr>
        <w:t>човековите права, како и правните аспекти на истите. Грантистите исто така ќе се запознаат со методологијата на пишување на –документи за јавните политики</w:t>
      </w:r>
      <w:r w:rsidR="00253D4C" w:rsidRPr="00E03791">
        <w:rPr>
          <w:rFonts w:asciiTheme="minorHAnsi" w:hAnsiTheme="minorHAnsi" w:cs="Arial"/>
          <w:color w:val="000000"/>
        </w:rPr>
        <w:t>, кои може да произлезат како последица од спроведените истражувања</w:t>
      </w:r>
      <w:r w:rsidRPr="00E03791">
        <w:rPr>
          <w:rFonts w:asciiTheme="minorHAnsi" w:hAnsiTheme="minorHAnsi" w:cs="Arial"/>
          <w:color w:val="000000"/>
        </w:rPr>
        <w:t>.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6C79DB" w:rsidP="001B448A">
      <w:pPr>
        <w:pStyle w:val="ListParagraph"/>
        <w:numPr>
          <w:ilvl w:val="0"/>
          <w:numId w:val="9"/>
        </w:num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</w:rPr>
        <w:t>Вторa обука: стра</w:t>
      </w:r>
      <w:r w:rsidR="000E553D" w:rsidRPr="00E03791">
        <w:rPr>
          <w:rFonts w:asciiTheme="minorHAnsi" w:hAnsiTheme="minorHAnsi" w:cs="Arial"/>
          <w:color w:val="000000"/>
        </w:rPr>
        <w:t xml:space="preserve">тешко планирање, подготовка на </w:t>
      </w:r>
      <w:r w:rsidRPr="00E03791">
        <w:rPr>
          <w:rFonts w:asciiTheme="minorHAnsi" w:hAnsiTheme="minorHAnsi" w:cs="Arial"/>
          <w:color w:val="000000"/>
        </w:rPr>
        <w:t xml:space="preserve">стратегии за </w:t>
      </w:r>
      <w:r w:rsidR="000E553D" w:rsidRPr="00E03791">
        <w:rPr>
          <w:rFonts w:asciiTheme="minorHAnsi" w:hAnsiTheme="minorHAnsi" w:cs="Arial"/>
          <w:color w:val="000000"/>
          <w:lang w:val="mk-MK"/>
        </w:rPr>
        <w:t>развој</w:t>
      </w:r>
      <w:r w:rsidR="006908AD" w:rsidRPr="00E03791">
        <w:rPr>
          <w:rFonts w:asciiTheme="minorHAnsi" w:hAnsiTheme="minorHAnsi" w:cs="Arial"/>
          <w:color w:val="000000"/>
          <w:lang w:val="mk-MK"/>
        </w:rPr>
        <w:t xml:space="preserve"> на организацијата</w:t>
      </w:r>
      <w:r w:rsidR="000E553D" w:rsidRPr="00E03791">
        <w:rPr>
          <w:rFonts w:asciiTheme="minorHAnsi" w:hAnsiTheme="minorHAnsi" w:cs="Arial"/>
          <w:color w:val="000000"/>
          <w:lang w:val="mk-MK"/>
        </w:rPr>
        <w:t xml:space="preserve">, подготовка на стратегии за </w:t>
      </w:r>
      <w:r w:rsidRPr="00E03791">
        <w:rPr>
          <w:rFonts w:asciiTheme="minorHAnsi" w:hAnsiTheme="minorHAnsi" w:cs="Arial"/>
          <w:color w:val="000000"/>
        </w:rPr>
        <w:t xml:space="preserve">односи со јавноста </w:t>
      </w:r>
      <w:r w:rsidR="00253D4C" w:rsidRPr="00E03791">
        <w:rPr>
          <w:rFonts w:asciiTheme="minorHAnsi" w:hAnsiTheme="minorHAnsi" w:cs="Arial"/>
          <w:color w:val="000000"/>
        </w:rPr>
        <w:t xml:space="preserve">и </w:t>
      </w:r>
      <w:r w:rsidRPr="00E03791">
        <w:rPr>
          <w:rFonts w:asciiTheme="minorHAnsi" w:hAnsiTheme="minorHAnsi" w:cs="Arial"/>
          <w:color w:val="000000"/>
        </w:rPr>
        <w:t>користење на платформи за дијалог</w:t>
      </w:r>
      <w:r w:rsidR="00253D4C" w:rsidRPr="00E03791">
        <w:rPr>
          <w:rFonts w:asciiTheme="minorHAnsi" w:hAnsiTheme="minorHAnsi" w:cs="Arial"/>
          <w:color w:val="000000"/>
        </w:rPr>
        <w:t xml:space="preserve"> меѓу ГО</w:t>
      </w:r>
      <w:r w:rsidRPr="00E03791">
        <w:rPr>
          <w:rFonts w:asciiTheme="minorHAnsi" w:hAnsiTheme="minorHAnsi" w:cs="Arial"/>
          <w:color w:val="000000"/>
        </w:rPr>
        <w:t xml:space="preserve">. </w:t>
      </w:r>
    </w:p>
    <w:p w:rsidR="00AE6B77" w:rsidRPr="00E03791" w:rsidRDefault="006C79DB" w:rsidP="001B448A">
      <w:pPr>
        <w:pStyle w:val="ListParagraph"/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E03791">
        <w:rPr>
          <w:rFonts w:asciiTheme="minorHAnsi" w:hAnsiTheme="minorHAnsi" w:cs="Arial"/>
          <w:color w:val="000000"/>
        </w:rPr>
        <w:t>Грантистите ќе се стекнат со знаења за стратешк</w:t>
      </w:r>
      <w:r w:rsidR="00253D4C" w:rsidRPr="00E03791">
        <w:rPr>
          <w:rFonts w:asciiTheme="minorHAnsi" w:hAnsiTheme="minorHAnsi" w:cs="Arial"/>
          <w:color w:val="000000"/>
        </w:rPr>
        <w:t>о</w:t>
      </w:r>
      <w:r w:rsidRPr="00E03791">
        <w:rPr>
          <w:rFonts w:asciiTheme="minorHAnsi" w:hAnsiTheme="minorHAnsi" w:cs="Arial"/>
          <w:color w:val="000000"/>
        </w:rPr>
        <w:t xml:space="preserve"> среднорочно и долгорочно планирање </w:t>
      </w:r>
      <w:r w:rsidR="006908AD" w:rsidRPr="00E03791">
        <w:rPr>
          <w:rFonts w:asciiTheme="minorHAnsi" w:hAnsiTheme="minorHAnsi" w:cs="Arial"/>
          <w:color w:val="000000"/>
          <w:lang w:val="mk-MK"/>
        </w:rPr>
        <w:t xml:space="preserve">и развој </w:t>
      </w:r>
      <w:r w:rsidRPr="00E03791">
        <w:rPr>
          <w:rFonts w:asciiTheme="minorHAnsi" w:hAnsiTheme="minorHAnsi" w:cs="Arial"/>
          <w:color w:val="000000"/>
        </w:rPr>
        <w:t xml:space="preserve">на своите програми и активности. Дополнително, обуката треба да опфати подготовка на информации </w:t>
      </w:r>
      <w:r w:rsidR="00253D4C" w:rsidRPr="00E03791">
        <w:rPr>
          <w:rFonts w:asciiTheme="minorHAnsi" w:hAnsiTheme="minorHAnsi" w:cs="Arial"/>
          <w:color w:val="000000"/>
        </w:rPr>
        <w:t xml:space="preserve">за широката јавност </w:t>
      </w:r>
      <w:r w:rsidRPr="00E03791">
        <w:rPr>
          <w:rFonts w:asciiTheme="minorHAnsi" w:hAnsiTheme="minorHAnsi" w:cs="Arial"/>
          <w:color w:val="000000"/>
        </w:rPr>
        <w:t xml:space="preserve">за работата на организацијата и проектот, промоција на постигнатите резултати и придобивките од </w:t>
      </w:r>
      <w:r w:rsidR="00253D4C" w:rsidRPr="00E03791">
        <w:rPr>
          <w:rFonts w:asciiTheme="minorHAnsi" w:hAnsiTheme="minorHAnsi" w:cs="Arial"/>
          <w:color w:val="000000"/>
        </w:rPr>
        <w:t xml:space="preserve">спроведената </w:t>
      </w:r>
      <w:r w:rsidRPr="00E03791">
        <w:rPr>
          <w:rFonts w:asciiTheme="minorHAnsi" w:hAnsiTheme="minorHAnsi" w:cs="Arial"/>
          <w:color w:val="000000"/>
        </w:rPr>
        <w:t xml:space="preserve">работа. Грантистите ќе се запознаат со </w:t>
      </w:r>
      <w:r w:rsidR="00253D4C" w:rsidRPr="00E03791">
        <w:rPr>
          <w:rFonts w:asciiTheme="minorHAnsi" w:hAnsiTheme="minorHAnsi" w:cs="Arial"/>
          <w:color w:val="000000"/>
        </w:rPr>
        <w:t>генералните придобивки од</w:t>
      </w:r>
      <w:r w:rsidRPr="00E03791">
        <w:rPr>
          <w:rFonts w:asciiTheme="minorHAnsi" w:hAnsiTheme="minorHAnsi" w:cs="Arial"/>
          <w:color w:val="000000"/>
        </w:rPr>
        <w:t xml:space="preserve"> платформи</w:t>
      </w:r>
      <w:r w:rsidR="00253D4C" w:rsidRPr="00E03791">
        <w:rPr>
          <w:rFonts w:asciiTheme="minorHAnsi" w:hAnsiTheme="minorHAnsi" w:cs="Arial"/>
          <w:color w:val="000000"/>
        </w:rPr>
        <w:t>те</w:t>
      </w:r>
      <w:r w:rsidRPr="00E03791">
        <w:rPr>
          <w:rFonts w:asciiTheme="minorHAnsi" w:hAnsiTheme="minorHAnsi" w:cs="Arial"/>
          <w:color w:val="000000"/>
        </w:rPr>
        <w:t xml:space="preserve"> за дијалог</w:t>
      </w:r>
      <w:r w:rsidR="00253D4C" w:rsidRPr="00E03791">
        <w:rPr>
          <w:rFonts w:asciiTheme="minorHAnsi" w:hAnsiTheme="minorHAnsi" w:cs="Arial"/>
          <w:color w:val="000000"/>
        </w:rPr>
        <w:t xml:space="preserve"> меѓу ГО</w:t>
      </w:r>
      <w:r w:rsidRPr="00E03791">
        <w:rPr>
          <w:rFonts w:asciiTheme="minorHAnsi" w:hAnsiTheme="minorHAnsi" w:cs="Arial"/>
          <w:color w:val="000000"/>
        </w:rPr>
        <w:t xml:space="preserve"> и </w:t>
      </w:r>
      <w:r w:rsidR="00253D4C" w:rsidRPr="00E03791">
        <w:rPr>
          <w:rFonts w:asciiTheme="minorHAnsi" w:hAnsiTheme="minorHAnsi" w:cs="Arial"/>
          <w:color w:val="000000"/>
        </w:rPr>
        <w:t xml:space="preserve">ќе развијат концепт за своја платформа за соработка меѓу грантистите. На оваа тема </w:t>
      </w:r>
      <w:r w:rsidR="005F2736" w:rsidRPr="00E03791">
        <w:rPr>
          <w:rFonts w:asciiTheme="minorHAnsi" w:hAnsiTheme="minorHAnsi" w:cs="Arial"/>
          <w:color w:val="000000"/>
        </w:rPr>
        <w:t xml:space="preserve">грантистите </w:t>
      </w:r>
      <w:r w:rsidR="00253D4C" w:rsidRPr="00E03791">
        <w:rPr>
          <w:rFonts w:asciiTheme="minorHAnsi" w:hAnsiTheme="minorHAnsi" w:cs="Arial"/>
          <w:color w:val="000000"/>
        </w:rPr>
        <w:t>ќе дискутира</w:t>
      </w:r>
      <w:r w:rsidR="005F2736" w:rsidRPr="00E03791">
        <w:rPr>
          <w:rFonts w:asciiTheme="minorHAnsi" w:hAnsiTheme="minorHAnsi" w:cs="Arial"/>
          <w:color w:val="000000"/>
        </w:rPr>
        <w:t>ат</w:t>
      </w:r>
      <w:r w:rsidR="00253D4C" w:rsidRPr="00E03791">
        <w:rPr>
          <w:rFonts w:asciiTheme="minorHAnsi" w:hAnsiTheme="minorHAnsi" w:cs="Arial"/>
          <w:color w:val="000000"/>
        </w:rPr>
        <w:t xml:space="preserve"> и пред одржувањето на обуката, па избраните експерти ќе добијат навремено повеќе информации ако веќе се дефинираат </w:t>
      </w:r>
      <w:r w:rsidR="005F2736" w:rsidRPr="00E03791">
        <w:rPr>
          <w:rFonts w:asciiTheme="minorHAnsi" w:hAnsiTheme="minorHAnsi" w:cs="Arial"/>
          <w:color w:val="000000"/>
        </w:rPr>
        <w:t>некои функционалности на платформата</w:t>
      </w:r>
      <w:r w:rsidRPr="00E03791">
        <w:rPr>
          <w:rFonts w:asciiTheme="minorHAnsi" w:hAnsiTheme="minorHAnsi" w:cs="Arial"/>
          <w:color w:val="000000"/>
        </w:rPr>
        <w:t xml:space="preserve">. 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6C79DB" w:rsidP="001B448A">
      <w:pPr>
        <w:pStyle w:val="ListParagraph"/>
        <w:numPr>
          <w:ilvl w:val="0"/>
          <w:numId w:val="9"/>
        </w:numPr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</w:rPr>
        <w:t>Трета обука: како да се управува со грант договорите кои се финансираат во рамки на проектот „Истражувачко новинарство – чувар на демократијата и човековите права“, согласно правилата за користење ЕУ средства.</w:t>
      </w:r>
    </w:p>
    <w:p w:rsidR="00AE6B77" w:rsidRPr="00E03791" w:rsidRDefault="006C79DB" w:rsidP="001B448A">
      <w:pPr>
        <w:pStyle w:val="ListParagraph"/>
        <w:tabs>
          <w:tab w:val="left" w:pos="7075"/>
        </w:tabs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</w:rPr>
        <w:t xml:space="preserve">На третата обука грантистите ќе се запознаат со постапките на спроведување и следење на нивните грантови/проекти, правилата за користење на расположливите средства, сметководствена евиденција и известување. Обуката ќе им овозможи на Грантистите соодветно да ги спроведат тековните грант договори, но и да стекнат знаење за идно планирање и </w:t>
      </w:r>
      <w:r w:rsidR="005F2736" w:rsidRPr="00E03791">
        <w:rPr>
          <w:rFonts w:asciiTheme="minorHAnsi" w:hAnsiTheme="minorHAnsi" w:cs="Arial"/>
          <w:color w:val="000000"/>
        </w:rPr>
        <w:t>спроведување</w:t>
      </w:r>
      <w:r w:rsidRPr="00E03791">
        <w:rPr>
          <w:rFonts w:asciiTheme="minorHAnsi" w:hAnsiTheme="minorHAnsi" w:cs="Arial"/>
          <w:color w:val="000000"/>
        </w:rPr>
        <w:t xml:space="preserve"> за проекти финансирани од ЕУ средства.</w:t>
      </w:r>
      <w:bookmarkStart w:id="1" w:name="__DdeLink__1925_1845525369"/>
      <w:bookmarkEnd w:id="1"/>
      <w:r w:rsidRPr="00E03791">
        <w:rPr>
          <w:rFonts w:asciiTheme="minorHAnsi" w:hAnsiTheme="minorHAnsi" w:cs="Arial"/>
          <w:color w:val="000000"/>
        </w:rPr>
        <w:t xml:space="preserve"> 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B9711F" w:rsidRDefault="006C79DB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B9711F">
        <w:rPr>
          <w:rFonts w:asciiTheme="minorHAnsi" w:hAnsiTheme="minorHAnsi" w:cs="Arial"/>
          <w:b/>
          <w:color w:val="000000"/>
        </w:rPr>
        <w:t>Обучувачите ќе работат во тимови по двајца обучувачи</w:t>
      </w:r>
      <w:r w:rsidR="005F2736" w:rsidRPr="00B9711F">
        <w:rPr>
          <w:rFonts w:asciiTheme="minorHAnsi" w:hAnsiTheme="minorHAnsi" w:cs="Arial"/>
          <w:b/>
          <w:color w:val="000000"/>
        </w:rPr>
        <w:t xml:space="preserve"> за секоја дводневна обука</w:t>
      </w:r>
      <w:r w:rsidRPr="00B9711F">
        <w:rPr>
          <w:rFonts w:asciiTheme="minorHAnsi" w:hAnsiTheme="minorHAnsi" w:cs="Arial"/>
          <w:b/>
          <w:color w:val="000000"/>
        </w:rPr>
        <w:t>.</w:t>
      </w:r>
    </w:p>
    <w:p w:rsidR="001B448A" w:rsidRPr="00E03791" w:rsidRDefault="006C79DB">
      <w:pPr>
        <w:shd w:val="clear" w:color="auto" w:fill="FFFFFF"/>
        <w:spacing w:before="250" w:after="0" w:line="240" w:lineRule="auto"/>
        <w:ind w:right="14"/>
        <w:jc w:val="both"/>
        <w:rPr>
          <w:rFonts w:asciiTheme="minorHAnsi" w:eastAsia="Times New Roman" w:hAnsiTheme="minorHAnsi" w:cs="Arial"/>
          <w:color w:val="000000"/>
        </w:rPr>
      </w:pPr>
      <w:r w:rsidRPr="00E03791">
        <w:rPr>
          <w:rFonts w:asciiTheme="minorHAnsi" w:hAnsiTheme="minorHAnsi" w:cs="Arial"/>
          <w:color w:val="000000"/>
        </w:rPr>
        <w:lastRenderedPageBreak/>
        <w:t>в) Да п</w:t>
      </w:r>
      <w:r w:rsidRPr="00E03791">
        <w:rPr>
          <w:rFonts w:asciiTheme="minorHAnsi" w:eastAsia="Times New Roman" w:hAnsiTheme="minorHAnsi" w:cs="Arial"/>
          <w:color w:val="000000"/>
        </w:rPr>
        <w:t xml:space="preserve">одготват материјали за </w:t>
      </w:r>
      <w:r w:rsidR="00C21761">
        <w:rPr>
          <w:rFonts w:asciiTheme="minorHAnsi" w:eastAsia="Times New Roman" w:hAnsiTheme="minorHAnsi" w:cs="Arial"/>
          <w:color w:val="000000"/>
        </w:rPr>
        <w:t>грантистите</w:t>
      </w:r>
      <w:r w:rsidRPr="00E03791">
        <w:rPr>
          <w:rFonts w:asciiTheme="minorHAnsi" w:eastAsia="Times New Roman" w:hAnsiTheme="minorHAnsi" w:cs="Arial"/>
          <w:color w:val="000000"/>
        </w:rPr>
        <w:t xml:space="preserve"> (reading material, handout</w:t>
      </w:r>
      <w:r w:rsidR="006908AD" w:rsidRPr="00E03791">
        <w:rPr>
          <w:rFonts w:asciiTheme="minorHAnsi" w:eastAsia="Times New Roman" w:hAnsiTheme="minorHAnsi" w:cs="Arial"/>
          <w:color w:val="000000"/>
          <w:lang w:val="en-US"/>
        </w:rPr>
        <w:t>s</w:t>
      </w:r>
      <w:r w:rsidRPr="00E03791">
        <w:rPr>
          <w:rFonts w:asciiTheme="minorHAnsi" w:eastAsia="Times New Roman" w:hAnsiTheme="minorHAnsi" w:cs="Arial"/>
          <w:color w:val="000000"/>
        </w:rPr>
        <w:t xml:space="preserve">) за обуката и истите да им бидат доставени на </w:t>
      </w:r>
      <w:r w:rsidR="00C21761">
        <w:rPr>
          <w:rFonts w:asciiTheme="minorHAnsi" w:eastAsia="Times New Roman" w:hAnsiTheme="minorHAnsi" w:cs="Arial"/>
          <w:color w:val="000000"/>
        </w:rPr>
        <w:t>грантистите</w:t>
      </w:r>
      <w:r w:rsidRPr="00E03791">
        <w:rPr>
          <w:rFonts w:asciiTheme="minorHAnsi" w:eastAsia="Times New Roman" w:hAnsiTheme="minorHAnsi" w:cs="Arial"/>
          <w:color w:val="000000"/>
        </w:rPr>
        <w:t xml:space="preserve"> по електронски пат. Се очекува обуките да бидат спроведени преку партиципативни работилници со активно вклучување на учесниците, користење на практични вежби, конкретни реални примери и други активни методи за обука и интерактивни техники, покрај теоретските претставувања, а материјалите за работа треба да бидат прилагодени на овој пристап.</w:t>
      </w:r>
    </w:p>
    <w:p w:rsidR="00AE6B77" w:rsidRPr="00E03791" w:rsidRDefault="006C79DB" w:rsidP="001B448A">
      <w:pPr>
        <w:shd w:val="clear" w:color="auto" w:fill="FFFFFF"/>
        <w:spacing w:before="250" w:after="0" w:line="240" w:lineRule="auto"/>
        <w:ind w:right="14"/>
        <w:jc w:val="both"/>
        <w:rPr>
          <w:rFonts w:asciiTheme="minorHAnsi" w:hAnsiTheme="minorHAnsi"/>
        </w:rPr>
      </w:pPr>
      <w:r w:rsidRPr="00E03791">
        <w:rPr>
          <w:rFonts w:asciiTheme="minorHAnsi" w:eastAsia="Times New Roman" w:hAnsiTheme="minorHAnsi" w:cs="Arial"/>
          <w:color w:val="000000"/>
        </w:rPr>
        <w:t xml:space="preserve">г) Да подготват алатки за објективно оценување и евалуација на тренингот. </w:t>
      </w:r>
    </w:p>
    <w:p w:rsidR="00AE6B77" w:rsidRPr="00E03791" w:rsidRDefault="00AE6B77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6C79DB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 xml:space="preserve">2.3. </w:t>
      </w:r>
      <w:r w:rsidR="005F2736" w:rsidRPr="00E03791">
        <w:rPr>
          <w:rFonts w:asciiTheme="minorHAnsi" w:hAnsiTheme="minorHAnsi" w:cs="Arial"/>
          <w:b/>
          <w:color w:val="000000"/>
        </w:rPr>
        <w:t xml:space="preserve">Испорака на </w:t>
      </w:r>
      <w:r w:rsidR="00714DC8" w:rsidRPr="00E03791">
        <w:rPr>
          <w:rFonts w:asciiTheme="minorHAnsi" w:hAnsiTheme="minorHAnsi" w:cs="Arial"/>
          <w:b/>
          <w:color w:val="000000"/>
        </w:rPr>
        <w:t>очекуваните резултати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75"/>
        <w:gridCol w:w="2750"/>
        <w:gridCol w:w="2531"/>
        <w:gridCol w:w="2676"/>
      </w:tblGrid>
      <w:tr w:rsidR="00714DC8" w:rsidRPr="00E03791" w:rsidTr="00714DC8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BA27D0" w:rsidRDefault="006C79DB">
            <w:pPr>
              <w:pStyle w:val="Heading1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  <w:lang w:val="mk-MK"/>
              </w:rPr>
            </w:pPr>
            <w:r w:rsidRPr="00BA27D0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  <w:lang w:val="mk-MK"/>
              </w:rPr>
              <w:t>Резултат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pStyle w:val="Heading2"/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</w:pPr>
            <w:r w:rsidRPr="00E03791"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  <w:t>Опис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pStyle w:val="Heading2"/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</w:pPr>
            <w:r w:rsidRPr="00E03791"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  <w:t>Кога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pStyle w:val="Heading2"/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</w:pPr>
            <w:r w:rsidRPr="00E03791">
              <w:rPr>
                <w:rFonts w:asciiTheme="minorHAnsi" w:hAnsiTheme="minorHAnsi" w:cs="Arial"/>
                <w:color w:val="000000"/>
                <w:sz w:val="22"/>
                <w:szCs w:val="22"/>
                <w:lang w:val="mk-MK"/>
              </w:rPr>
              <w:t>Со кого</w:t>
            </w:r>
          </w:p>
        </w:tc>
      </w:tr>
      <w:tr w:rsidR="00714DC8" w:rsidRPr="00E03791" w:rsidTr="00714DC8">
        <w:trPr>
          <w:cantSplit/>
          <w:trHeight w:val="1741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AE6B7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2.2. а)</w:t>
            </w:r>
          </w:p>
          <w:p w:rsidR="00AE6B77" w:rsidRPr="00E03791" w:rsidRDefault="00AE6B7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AE6B77" w:rsidRPr="00E03791" w:rsidRDefault="00AE6B7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714DC8" w:rsidP="004B34A1">
            <w:pPr>
              <w:pStyle w:val="BodyTextIndent"/>
              <w:ind w:left="0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Подготвена м</w:t>
            </w:r>
            <w:r w:rsidR="006C79DB" w:rsidRPr="00E03791">
              <w:rPr>
                <w:rFonts w:asciiTheme="minorHAnsi" w:hAnsiTheme="minorHAnsi" w:cs="Arial"/>
                <w:color w:val="000000"/>
              </w:rPr>
              <w:t>етодологија</w:t>
            </w:r>
            <w:r w:rsidR="004B34A1" w:rsidRPr="00E03791">
              <w:rPr>
                <w:rFonts w:asciiTheme="minorHAnsi" w:hAnsiTheme="minorHAnsi" w:cs="Arial"/>
                <w:color w:val="000000"/>
              </w:rPr>
              <w:t xml:space="preserve"> за</w:t>
            </w:r>
            <w:r w:rsidRPr="00E03791">
              <w:rPr>
                <w:rFonts w:asciiTheme="minorHAnsi" w:hAnsiTheme="minorHAnsi" w:cs="Arial"/>
                <w:color w:val="000000"/>
              </w:rPr>
              <w:t xml:space="preserve"> подготовка, спроведување и евалуација на обуките</w:t>
            </w:r>
            <w:r w:rsidR="004B34A1" w:rsidRPr="00E03791">
              <w:rPr>
                <w:rFonts w:asciiTheme="minorHAnsi" w:hAnsiTheme="minorHAnsi" w:cs="Arial"/>
                <w:color w:val="000000"/>
              </w:rPr>
              <w:t xml:space="preserve"> (со практични алатки)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5F27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 декември</w:t>
            </w:r>
            <w:r w:rsidR="006C79DB" w:rsidRPr="00E03791">
              <w:rPr>
                <w:rFonts w:asciiTheme="minorHAnsi" w:hAnsiTheme="minorHAnsi" w:cs="Arial"/>
                <w:color w:val="000000"/>
              </w:rPr>
              <w:t xml:space="preserve">  2016</w:t>
            </w:r>
            <w:r w:rsidRPr="00E03791">
              <w:rPr>
                <w:rFonts w:asciiTheme="minorHAnsi" w:hAnsiTheme="minorHAnsi" w:cs="Arial"/>
                <w:color w:val="000000"/>
              </w:rPr>
              <w:t>/ јануари 2017/ февруари 2017</w:t>
            </w:r>
          </w:p>
          <w:p w:rsidR="00AE6B77" w:rsidRPr="00E03791" w:rsidRDefault="00AE6B7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ЦУП проектен менаџер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координатор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асистент – организатор на настани</w:t>
            </w:r>
          </w:p>
        </w:tc>
      </w:tr>
      <w:tr w:rsidR="00714DC8" w:rsidRPr="00E03791" w:rsidTr="00714DC8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2.2. б)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714DC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 xml:space="preserve">Подготвени </w:t>
            </w:r>
            <w:r w:rsidR="006C79DB" w:rsidRPr="00E03791">
              <w:rPr>
                <w:rFonts w:asciiTheme="minorHAnsi" w:hAnsiTheme="minorHAnsi" w:cs="Arial"/>
                <w:color w:val="000000"/>
              </w:rPr>
              <w:t>3 дводневни обуки</w:t>
            </w:r>
            <w:r w:rsidR="005F2736" w:rsidRPr="00E03791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03791">
              <w:rPr>
                <w:rFonts w:asciiTheme="minorHAnsi" w:hAnsiTheme="minorHAnsi" w:cs="Arial"/>
                <w:color w:val="000000"/>
              </w:rPr>
              <w:t>на дефинираните теми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5F273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декември  2016/ јануари 2017/ февруари 2017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ЦУП проектен менаџер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координатор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асистент – организатор на настани</w:t>
            </w:r>
          </w:p>
        </w:tc>
      </w:tr>
      <w:tr w:rsidR="00714DC8" w:rsidRPr="00E03791" w:rsidTr="00714DC8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2.2. в)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714DC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Спроведени 3 дводневни обуки на дефинираните теми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5F27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декември  2016/ јануари 2017/ февруари 2017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ЦУП проектен менаџер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координатор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асистент – организатор на настани</w:t>
            </w:r>
          </w:p>
        </w:tc>
      </w:tr>
      <w:tr w:rsidR="00714DC8" w:rsidRPr="00E03791" w:rsidTr="00714DC8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2.2. г)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714DC8" w:rsidP="00714DC8">
            <w:pPr>
              <w:spacing w:after="0" w:line="240" w:lineRule="auto"/>
              <w:rPr>
                <w:rFonts w:asciiTheme="minorHAnsi" w:hAnsiTheme="minorHAnsi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П</w:t>
            </w:r>
            <w:r w:rsidR="006C79DB" w:rsidRPr="00E03791">
              <w:rPr>
                <w:rFonts w:asciiTheme="minorHAnsi" w:hAnsiTheme="minorHAnsi" w:cs="Arial"/>
                <w:color w:val="000000"/>
              </w:rPr>
              <w:t>одготв</w:t>
            </w:r>
            <w:r w:rsidRPr="00E03791">
              <w:rPr>
                <w:rFonts w:asciiTheme="minorHAnsi" w:hAnsiTheme="minorHAnsi" w:cs="Arial"/>
                <w:color w:val="000000"/>
              </w:rPr>
              <w:t>ени агенда и работни</w:t>
            </w:r>
            <w:r w:rsidR="006C79DB" w:rsidRPr="00E03791">
              <w:rPr>
                <w:rFonts w:asciiTheme="minorHAnsi" w:hAnsiTheme="minorHAnsi" w:cs="Arial"/>
                <w:color w:val="000000"/>
              </w:rPr>
              <w:t xml:space="preserve"> материјали за </w:t>
            </w:r>
            <w:r w:rsidRPr="00E03791">
              <w:rPr>
                <w:rFonts w:asciiTheme="minorHAnsi" w:hAnsiTheme="minorHAnsi" w:cs="Arial"/>
                <w:color w:val="000000"/>
              </w:rPr>
              <w:t xml:space="preserve"> обуките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5F27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декември  2016/ јануари 2017/ февруари 2017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ЦУП проектен менаџер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координатор</w:t>
            </w:r>
          </w:p>
          <w:p w:rsidR="00AE6B77" w:rsidRPr="00E03791" w:rsidRDefault="006C79D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асистент – организатор на настани</w:t>
            </w:r>
          </w:p>
        </w:tc>
      </w:tr>
      <w:tr w:rsidR="004B34A1" w:rsidRPr="00E03791" w:rsidTr="00714DC8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34A1" w:rsidRPr="00E03791" w:rsidRDefault="004B34A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2.2.д)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34A1" w:rsidRPr="00E03791" w:rsidDel="00714DC8" w:rsidRDefault="001B448A" w:rsidP="001B448A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Подготвени</w:t>
            </w:r>
            <w:r w:rsidR="004B34A1" w:rsidRPr="00E03791">
              <w:rPr>
                <w:rFonts w:asciiTheme="minorHAnsi" w:hAnsiTheme="minorHAnsi" w:cs="Arial"/>
                <w:color w:val="000000"/>
              </w:rPr>
              <w:t xml:space="preserve"> евалуација</w:t>
            </w:r>
            <w:r w:rsidRPr="00E03791">
              <w:rPr>
                <w:rFonts w:asciiTheme="minorHAnsi" w:hAnsiTheme="minorHAnsi" w:cs="Arial"/>
                <w:color w:val="000000"/>
              </w:rPr>
              <w:t xml:space="preserve"> од обуката и извештај за извршените активности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03791" w:rsidRPr="00E03791" w:rsidRDefault="004B34A1" w:rsidP="00E0379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јануари 2017/ февруари 2017/</w:t>
            </w:r>
          </w:p>
          <w:p w:rsidR="004B34A1" w:rsidRPr="00E03791" w:rsidRDefault="004B34A1" w:rsidP="00E0379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март 2017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34A1" w:rsidRPr="00E03791" w:rsidRDefault="004B34A1" w:rsidP="00E0306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ЦУП проектен менаџер</w:t>
            </w:r>
          </w:p>
          <w:p w:rsidR="004B34A1" w:rsidRPr="00E03791" w:rsidRDefault="004B34A1" w:rsidP="00E0306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координатор</w:t>
            </w:r>
          </w:p>
          <w:p w:rsidR="004B34A1" w:rsidRPr="00E03791" w:rsidRDefault="004B34A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E03791">
              <w:rPr>
                <w:rFonts w:asciiTheme="minorHAnsi" w:hAnsiTheme="minorHAnsi" w:cs="Arial"/>
                <w:color w:val="000000"/>
              </w:rPr>
              <w:t>ИЧП проектен асистент – организатор на настани</w:t>
            </w:r>
          </w:p>
        </w:tc>
      </w:tr>
    </w:tbl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E03791" w:rsidRPr="00E03791" w:rsidRDefault="00E03791" w:rsidP="00E03791">
      <w:pPr>
        <w:pStyle w:val="ListParagraph"/>
        <w:tabs>
          <w:tab w:val="left" w:pos="284"/>
        </w:tabs>
        <w:ind w:left="0"/>
        <w:jc w:val="both"/>
        <w:rPr>
          <w:rFonts w:asciiTheme="minorHAnsi" w:hAnsiTheme="minorHAnsi" w:cs="Calibri"/>
          <w:b/>
          <w:i/>
          <w:lang w:val="mk-MK"/>
        </w:rPr>
      </w:pPr>
      <w:r w:rsidRPr="00E03791">
        <w:rPr>
          <w:rFonts w:asciiTheme="minorHAnsi" w:hAnsiTheme="minorHAnsi" w:cs="Calibri"/>
          <w:b/>
          <w:i/>
          <w:lang w:val="mk-MK"/>
        </w:rPr>
        <w:t xml:space="preserve">ЦУП го задржува правото на измена на временската рамка за испораката на нарачаните </w:t>
      </w:r>
      <w:r w:rsidRPr="00E03791">
        <w:rPr>
          <w:rFonts w:asciiTheme="minorHAnsi" w:hAnsiTheme="minorHAnsi" w:cs="Calibri"/>
          <w:b/>
          <w:i/>
          <w:noProof/>
        </w:rPr>
        <w:t>услуги</w:t>
      </w:r>
      <w:r w:rsidRPr="00E03791">
        <w:rPr>
          <w:rFonts w:asciiTheme="minorHAnsi" w:hAnsiTheme="minorHAnsi" w:cs="Calibri"/>
          <w:b/>
          <w:i/>
          <w:lang w:val="mk-MK"/>
        </w:rPr>
        <w:t xml:space="preserve"> од страна на добавувачот во зависност од претходно реализираните активности кои се во рамките на овој проект.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AE6B77" w:rsidRPr="00E03791" w:rsidRDefault="006C79DB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3. ОРГАНИЗАЦИЈА</w:t>
      </w:r>
    </w:p>
    <w:p w:rsidR="00AE6B77" w:rsidRPr="00E03791" w:rsidRDefault="00AE6B77">
      <w:p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</w:p>
    <w:p w:rsidR="00AE6B77" w:rsidRPr="00E03791" w:rsidRDefault="006C79DB" w:rsidP="00E03791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E03791">
        <w:rPr>
          <w:rFonts w:asciiTheme="minorHAnsi" w:hAnsiTheme="minorHAnsi" w:cs="Arial"/>
          <w:b/>
          <w:color w:val="000000"/>
        </w:rPr>
        <w:t>3.1. Организација која ќе ја спроведе задачата</w:t>
      </w:r>
    </w:p>
    <w:p w:rsidR="00AE6B77" w:rsidRDefault="006C79DB" w:rsidP="00CA367F">
      <w:pPr>
        <w:tabs>
          <w:tab w:val="left" w:pos="7075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E03791">
        <w:rPr>
          <w:rFonts w:asciiTheme="minorHAnsi" w:hAnsiTheme="minorHAnsi" w:cs="Arial"/>
          <w:color w:val="000000"/>
        </w:rPr>
        <w:lastRenderedPageBreak/>
        <w:t xml:space="preserve">За оваа задача ќе се ангажира консултантска куќа која треба да има најмалку 2 години активен статус, да има регистрирана дејност за испорака на обуки, да има искуство во одржување на обуки </w:t>
      </w:r>
      <w:r w:rsidR="00CA367F">
        <w:rPr>
          <w:rFonts w:asciiTheme="minorHAnsi" w:hAnsiTheme="minorHAnsi" w:cs="Arial"/>
          <w:color w:val="000000"/>
        </w:rPr>
        <w:t xml:space="preserve">(се докажува со </w:t>
      </w:r>
      <w:r w:rsidR="00CA367F" w:rsidRPr="00CA367F">
        <w:rPr>
          <w:rFonts w:asciiTheme="minorHAnsi" w:hAnsiTheme="minorHAnsi" w:cs="Arial"/>
          <w:color w:val="000000"/>
        </w:rPr>
        <w:t>Профил</w:t>
      </w:r>
      <w:r w:rsidR="00CA367F">
        <w:rPr>
          <w:rFonts w:asciiTheme="minorHAnsi" w:hAnsiTheme="minorHAnsi" w:cs="Arial"/>
          <w:color w:val="000000"/>
        </w:rPr>
        <w:t>от</w:t>
      </w:r>
      <w:r w:rsidR="00CA367F" w:rsidRPr="00CA367F">
        <w:rPr>
          <w:rFonts w:asciiTheme="minorHAnsi" w:hAnsiTheme="minorHAnsi" w:cs="Arial"/>
          <w:color w:val="000000"/>
        </w:rPr>
        <w:t xml:space="preserve"> на правното лице и Листа</w:t>
      </w:r>
      <w:r w:rsidR="00CA367F">
        <w:rPr>
          <w:rFonts w:asciiTheme="minorHAnsi" w:hAnsiTheme="minorHAnsi" w:cs="Arial"/>
          <w:color w:val="000000"/>
        </w:rPr>
        <w:t>та</w:t>
      </w:r>
      <w:r w:rsidR="00CA367F" w:rsidRPr="00CA367F">
        <w:rPr>
          <w:rFonts w:asciiTheme="minorHAnsi" w:hAnsiTheme="minorHAnsi" w:cs="Arial"/>
          <w:color w:val="000000"/>
        </w:rPr>
        <w:t xml:space="preserve"> со референци за претходни активности на правното лице поврзани со барањето на овој повик</w:t>
      </w:r>
      <w:r w:rsidR="00CA367F">
        <w:rPr>
          <w:rFonts w:asciiTheme="minorHAnsi" w:hAnsiTheme="minorHAnsi" w:cs="Arial"/>
          <w:color w:val="000000"/>
        </w:rPr>
        <w:t>, документи кои се наведени во точка 3 од Поканата за учество во повикот)</w:t>
      </w:r>
      <w:r w:rsidRPr="00E03791">
        <w:rPr>
          <w:rFonts w:asciiTheme="minorHAnsi" w:hAnsiTheme="minorHAnsi" w:cs="Arial"/>
          <w:color w:val="000000"/>
        </w:rPr>
        <w:t xml:space="preserve"> и да може да ангажира експерти кои ги исполнуваат релевантните критериуми</w:t>
      </w:r>
      <w:r w:rsidR="00CA367F">
        <w:rPr>
          <w:rFonts w:asciiTheme="minorHAnsi" w:hAnsiTheme="minorHAnsi" w:cs="Arial"/>
          <w:color w:val="000000"/>
        </w:rPr>
        <w:t xml:space="preserve"> (се докажува со </w:t>
      </w:r>
      <w:r w:rsidR="00CA367F" w:rsidRPr="00CA367F">
        <w:rPr>
          <w:rFonts w:asciiTheme="minorHAnsi" w:hAnsiTheme="minorHAnsi" w:cs="Arial"/>
          <w:color w:val="000000"/>
        </w:rPr>
        <w:t>Кратка биографија (CV) на предложените експерти</w:t>
      </w:r>
      <w:r w:rsidR="00CA367F">
        <w:rPr>
          <w:rFonts w:asciiTheme="minorHAnsi" w:hAnsiTheme="minorHAnsi" w:cs="Arial"/>
          <w:color w:val="000000"/>
        </w:rPr>
        <w:t xml:space="preserve"> и согласно условите</w:t>
      </w:r>
      <w:r w:rsidR="00CA367F" w:rsidRPr="00CA367F">
        <w:rPr>
          <w:rFonts w:asciiTheme="minorHAnsi" w:hAnsiTheme="minorHAnsi" w:cs="Arial"/>
          <w:color w:val="000000"/>
        </w:rPr>
        <w:t xml:space="preserve"> </w:t>
      </w:r>
      <w:r w:rsidR="00CA367F">
        <w:rPr>
          <w:rFonts w:asciiTheme="minorHAnsi" w:hAnsiTheme="minorHAnsi" w:cs="Arial"/>
          <w:color w:val="000000"/>
        </w:rPr>
        <w:t>наведени во точка 3.2. од Проектната задача)</w:t>
      </w:r>
      <w:r w:rsidRPr="00E03791">
        <w:rPr>
          <w:rFonts w:asciiTheme="minorHAnsi" w:hAnsiTheme="minorHAnsi" w:cs="Arial"/>
          <w:color w:val="000000"/>
        </w:rPr>
        <w:t xml:space="preserve">. </w:t>
      </w:r>
    </w:p>
    <w:p w:rsidR="00CA367F" w:rsidRPr="00E03791" w:rsidRDefault="00CA367F">
      <w:pPr>
        <w:tabs>
          <w:tab w:val="left" w:pos="7075"/>
        </w:tabs>
        <w:spacing w:after="0" w:line="240" w:lineRule="auto"/>
        <w:rPr>
          <w:rFonts w:asciiTheme="minorHAnsi" w:hAnsiTheme="minorHAnsi" w:cs="Arial"/>
          <w:color w:val="000000"/>
        </w:rPr>
      </w:pPr>
    </w:p>
    <w:p w:rsidR="00AE6B77" w:rsidRPr="00E03791" w:rsidRDefault="006C79DB" w:rsidP="001B448A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3.2 Е</w:t>
      </w:r>
      <w:r w:rsidR="0038086A" w:rsidRPr="00E03791">
        <w:rPr>
          <w:rFonts w:asciiTheme="minorHAnsi" w:hAnsiTheme="minorHAnsi" w:cs="Arial"/>
          <w:b/>
          <w:color w:val="000000"/>
        </w:rPr>
        <w:t>к</w:t>
      </w:r>
      <w:r w:rsidRPr="00E03791">
        <w:rPr>
          <w:rFonts w:asciiTheme="minorHAnsi" w:hAnsiTheme="minorHAnsi" w:cs="Arial"/>
          <w:b/>
          <w:color w:val="000000"/>
        </w:rPr>
        <w:t>сперти</w:t>
      </w:r>
    </w:p>
    <w:p w:rsidR="00AE6B77" w:rsidRPr="00E03791" w:rsidRDefault="006C79DB">
      <w:pPr>
        <w:tabs>
          <w:tab w:val="left" w:pos="7075"/>
        </w:tabs>
        <w:spacing w:after="0" w:line="240" w:lineRule="auto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</w:rPr>
        <w:br/>
        <w:t>Експертите кои ќе бидат ангажирани да ги спроведат предвидените активности и да ги постигнат предвидените резултати треба да  ги исполнуваат следните услови</w:t>
      </w:r>
      <w:r w:rsidRPr="00E03791">
        <w:rPr>
          <w:rFonts w:asciiTheme="minorHAnsi" w:hAnsiTheme="minorHAnsi" w:cs="Arial"/>
          <w:color w:val="000000"/>
          <w:lang w:val="en-US"/>
        </w:rPr>
        <w:t>:</w:t>
      </w:r>
      <w:r w:rsidRPr="00E03791">
        <w:rPr>
          <w:rFonts w:asciiTheme="minorHAnsi" w:hAnsiTheme="minorHAnsi" w:cs="Arial"/>
          <w:color w:val="000000"/>
        </w:rPr>
        <w:t xml:space="preserve"> </w:t>
      </w:r>
    </w:p>
    <w:p w:rsidR="00AE6B77" w:rsidRPr="00E03791" w:rsidRDefault="00AE6B77">
      <w:pPr>
        <w:tabs>
          <w:tab w:val="left" w:pos="7075"/>
        </w:tabs>
        <w:spacing w:after="0" w:line="240" w:lineRule="auto"/>
        <w:rPr>
          <w:rFonts w:asciiTheme="minorHAnsi" w:hAnsiTheme="minorHAnsi" w:cs="Arial"/>
          <w:color w:val="000000"/>
          <w:lang w:val="en-US"/>
        </w:rPr>
      </w:pPr>
    </w:p>
    <w:p w:rsidR="00AE6B77" w:rsidRPr="00E03791" w:rsidRDefault="000B166C" w:rsidP="000B16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mk-MK"/>
        </w:rPr>
      </w:pPr>
      <w:r w:rsidRPr="00E03791">
        <w:rPr>
          <w:rFonts w:asciiTheme="minorHAnsi" w:hAnsiTheme="minorHAnsi" w:cs="Arial"/>
          <w:color w:val="000000"/>
          <w:lang w:val="mk-MK"/>
        </w:rPr>
        <w:t>Високо обрaзование;</w:t>
      </w:r>
    </w:p>
    <w:p w:rsidR="0038086A" w:rsidRPr="00E03791" w:rsidRDefault="006C79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  <w:lang w:val="mk-MK"/>
        </w:rPr>
        <w:t xml:space="preserve">Практично искуство во </w:t>
      </w:r>
      <w:r w:rsidR="0038086A" w:rsidRPr="00E03791">
        <w:rPr>
          <w:rFonts w:asciiTheme="minorHAnsi" w:hAnsiTheme="minorHAnsi" w:cs="Arial"/>
          <w:color w:val="000000"/>
          <w:lang w:val="mk-MK"/>
        </w:rPr>
        <w:t xml:space="preserve">истражувачко новинарство и/или слобода на изразување и/или истражување на повреди и заштита на човековите права и демократијата и/или подготовка на документи за јавни политики (за првата обука); </w:t>
      </w:r>
    </w:p>
    <w:p w:rsidR="0038086A" w:rsidRPr="00E03791" w:rsidRDefault="003808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  <w:lang w:val="mk-MK"/>
        </w:rPr>
        <w:t xml:space="preserve">Практично искуство во стратешко планирање на цели, активности и буџет на граѓански организации, како и/или форми на соработка (за втората обука); </w:t>
      </w:r>
    </w:p>
    <w:p w:rsidR="00AE6B77" w:rsidRPr="00E03791" w:rsidRDefault="003808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hAnsiTheme="minorHAnsi" w:cs="Arial"/>
          <w:color w:val="000000"/>
          <w:lang w:val="mk-MK"/>
        </w:rPr>
        <w:t xml:space="preserve">Практично искуство во </w:t>
      </w:r>
      <w:r w:rsidR="006C79DB" w:rsidRPr="00E03791">
        <w:rPr>
          <w:rFonts w:asciiTheme="minorHAnsi" w:hAnsiTheme="minorHAnsi" w:cs="Arial"/>
          <w:color w:val="000000"/>
          <w:lang w:val="mk-MK"/>
        </w:rPr>
        <w:t>управување со ЕУ/донаторски проекти</w:t>
      </w:r>
      <w:r w:rsidR="000B166C" w:rsidRPr="00E03791">
        <w:rPr>
          <w:rFonts w:asciiTheme="minorHAnsi" w:hAnsiTheme="minorHAnsi" w:cs="Arial"/>
          <w:color w:val="000000"/>
          <w:lang w:val="mk-MK"/>
        </w:rPr>
        <w:t xml:space="preserve"> (за третата обука);</w:t>
      </w:r>
    </w:p>
    <w:p w:rsidR="00AE6B77" w:rsidRPr="00E03791" w:rsidRDefault="000B16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mk-MK"/>
        </w:rPr>
      </w:pPr>
      <w:r w:rsidRPr="00E03791">
        <w:rPr>
          <w:rFonts w:asciiTheme="minorHAnsi" w:hAnsiTheme="minorHAnsi" w:cs="Arial"/>
          <w:color w:val="000000"/>
          <w:lang w:val="mk-MK"/>
        </w:rPr>
        <w:t>Поседување на с</w:t>
      </w:r>
      <w:r w:rsidR="006C79DB" w:rsidRPr="00E03791">
        <w:rPr>
          <w:rFonts w:asciiTheme="minorHAnsi" w:hAnsiTheme="minorHAnsi" w:cs="Arial"/>
          <w:color w:val="000000"/>
          <w:lang w:val="mk-MK"/>
        </w:rPr>
        <w:t>ертификат за тренер ќе се смета за предност</w:t>
      </w:r>
      <w:r w:rsidR="004B34A1" w:rsidRPr="00E03791">
        <w:rPr>
          <w:rFonts w:asciiTheme="minorHAnsi" w:hAnsiTheme="minorHAnsi" w:cs="Arial"/>
          <w:color w:val="000000"/>
          <w:lang w:val="mk-MK"/>
        </w:rPr>
        <w:t>.</w:t>
      </w:r>
    </w:p>
    <w:p w:rsidR="00AE6B77" w:rsidRPr="00E03791" w:rsidRDefault="00AE6B77">
      <w:pPr>
        <w:widowControl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6C79DB" w:rsidP="001B448A">
      <w:pPr>
        <w:spacing w:after="0" w:line="240" w:lineRule="auto"/>
        <w:jc w:val="both"/>
        <w:outlineLvl w:val="0"/>
        <w:rPr>
          <w:rFonts w:asciiTheme="minorHAnsi" w:hAnsiTheme="minorHAnsi" w:cs="Arial"/>
          <w:b/>
          <w:color w:val="000000"/>
        </w:rPr>
      </w:pPr>
      <w:r w:rsidRPr="00E03791">
        <w:rPr>
          <w:rFonts w:asciiTheme="minorHAnsi" w:hAnsiTheme="minorHAnsi" w:cs="Arial"/>
          <w:b/>
          <w:color w:val="000000"/>
        </w:rPr>
        <w:t>3.</w:t>
      </w:r>
      <w:r w:rsidR="001B448A" w:rsidRPr="00E03791">
        <w:rPr>
          <w:rFonts w:asciiTheme="minorHAnsi" w:hAnsiTheme="minorHAnsi" w:cs="Arial"/>
          <w:b/>
          <w:color w:val="000000"/>
        </w:rPr>
        <w:t>3</w:t>
      </w:r>
      <w:r w:rsidRPr="00E03791">
        <w:rPr>
          <w:rFonts w:asciiTheme="minorHAnsi" w:hAnsiTheme="minorHAnsi" w:cs="Arial"/>
          <w:b/>
          <w:color w:val="000000"/>
        </w:rPr>
        <w:t>. Временска рамка (денови) на активноста по експерт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tbl>
      <w:tblPr>
        <w:tblW w:w="9356" w:type="dxa"/>
        <w:tblInd w:w="-6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6" w:space="0" w:color="000001"/>
          <w:insideH w:val="single" w:sz="12" w:space="0" w:color="000001"/>
          <w:insideV w:val="single" w:sz="6" w:space="0" w:color="000001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665"/>
        <w:gridCol w:w="2691"/>
      </w:tblGrid>
      <w:tr w:rsidR="00AE6B77" w:rsidRPr="00E03791">
        <w:tc>
          <w:tcPr>
            <w:tcW w:w="666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E03791" w:rsidRDefault="006C79DB">
            <w:pPr>
              <w:pStyle w:val="Heading3"/>
              <w:spacing w:before="0" w:after="200" w:line="240" w:lineRule="auto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Фаза</w:t>
            </w:r>
          </w:p>
        </w:tc>
        <w:tc>
          <w:tcPr>
            <w:tcW w:w="269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Вкупно денови за еден експерт</w:t>
            </w: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Подготовка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1</w:t>
            </w:r>
          </w:p>
          <w:p w:rsidR="00AE6B77" w:rsidRPr="00E03791" w:rsidRDefault="00AE6B77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Методологија/подготовка на материјали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4</w:t>
            </w: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Одржување на три дводневни обуки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2</w:t>
            </w:r>
          </w:p>
          <w:p w:rsidR="00AE6B77" w:rsidRPr="00E03791" w:rsidRDefault="00AE6B77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Извештај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1</w:t>
            </w:r>
          </w:p>
        </w:tc>
      </w:tr>
      <w:tr w:rsidR="00AE6B77" w:rsidRPr="00E03791">
        <w:tc>
          <w:tcPr>
            <w:tcW w:w="6664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left w:w="77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Вкупно (максимум)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98" w:type="dxa"/>
            </w:tcMar>
          </w:tcPr>
          <w:p w:rsidR="00AE6B77" w:rsidRPr="00E03791" w:rsidRDefault="006C79DB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 w:rsidRPr="00E03791">
              <w:rPr>
                <w:rFonts w:asciiTheme="minorHAnsi" w:hAnsiTheme="minorHAnsi" w:cs="Arial"/>
                <w:b/>
                <w:color w:val="000000"/>
              </w:rPr>
              <w:t>8</w:t>
            </w:r>
          </w:p>
        </w:tc>
      </w:tr>
    </w:tbl>
    <w:p w:rsidR="00AE6B77" w:rsidRPr="00E03791" w:rsidRDefault="00AE6B77">
      <w:pPr>
        <w:widowControl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AE6B77" w:rsidRPr="00E03791" w:rsidRDefault="00E03791">
      <w:pPr>
        <w:widowControl w:val="0"/>
        <w:spacing w:after="0" w:line="240" w:lineRule="auto"/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Планиран краен</w:t>
      </w:r>
      <w:r w:rsidR="006C79DB" w:rsidRPr="00E03791">
        <w:rPr>
          <w:rFonts w:asciiTheme="minorHAnsi" w:hAnsiTheme="minorHAnsi" w:cs="Arial"/>
          <w:color w:val="000000"/>
        </w:rPr>
        <w:t xml:space="preserve"> рок за извршување на </w:t>
      </w:r>
      <w:r>
        <w:rPr>
          <w:rFonts w:asciiTheme="minorHAnsi" w:hAnsiTheme="minorHAnsi" w:cs="Arial"/>
          <w:color w:val="000000"/>
        </w:rPr>
        <w:t>задачите</w:t>
      </w:r>
      <w:r w:rsidR="006C79DB" w:rsidRPr="00E03791">
        <w:rPr>
          <w:rFonts w:asciiTheme="minorHAnsi" w:hAnsiTheme="minorHAnsi" w:cs="Arial"/>
          <w:color w:val="000000"/>
        </w:rPr>
        <w:t xml:space="preserve"> е </w:t>
      </w:r>
      <w:r w:rsidR="001B448A" w:rsidRPr="00E03791">
        <w:rPr>
          <w:rFonts w:asciiTheme="minorHAnsi" w:hAnsiTheme="minorHAnsi" w:cs="Arial"/>
          <w:color w:val="000000"/>
        </w:rPr>
        <w:t>31</w:t>
      </w:r>
      <w:r w:rsidR="004B34A1" w:rsidRPr="00E03791">
        <w:rPr>
          <w:rFonts w:asciiTheme="minorHAnsi" w:hAnsiTheme="minorHAnsi" w:cs="Arial"/>
          <w:color w:val="000000"/>
        </w:rPr>
        <w:t xml:space="preserve"> март</w:t>
      </w:r>
      <w:r w:rsidR="00E06750" w:rsidRPr="00E03791">
        <w:rPr>
          <w:rFonts w:asciiTheme="minorHAnsi" w:hAnsiTheme="minorHAnsi" w:cs="Arial"/>
          <w:color w:val="000000"/>
        </w:rPr>
        <w:t xml:space="preserve"> 2017</w:t>
      </w:r>
      <w:r w:rsidR="006C79DB" w:rsidRPr="00E03791">
        <w:rPr>
          <w:rFonts w:asciiTheme="minorHAnsi" w:hAnsiTheme="minorHAnsi" w:cs="Arial"/>
          <w:color w:val="000000"/>
        </w:rPr>
        <w:t xml:space="preserve"> година.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p w:rsidR="00AE6B77" w:rsidRPr="00E03791" w:rsidRDefault="001B448A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3.4</w:t>
      </w:r>
      <w:r w:rsidR="006C79DB"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. Логистика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p w:rsidR="00AE6B77" w:rsidRPr="00E03791" w:rsidRDefault="006C79DB">
      <w:pPr>
        <w:pStyle w:val="BodyText"/>
        <w:spacing w:after="0"/>
        <w:ind w:firstLine="720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За спроведување на активностите од страна на проектниот тим на ИЧП и ЦУП ќе биде обезбедена следнава поддршка:</w:t>
      </w:r>
    </w:p>
    <w:p w:rsidR="00AE6B77" w:rsidRPr="00E03791" w:rsidRDefault="006C79DB">
      <w:pPr>
        <w:pStyle w:val="BodyText"/>
        <w:spacing w:after="0"/>
        <w:ind w:left="720"/>
        <w:jc w:val="both"/>
        <w:outlineLvl w:val="0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ЦУП проектен менаџер – достапен во текот на целата мисија</w:t>
      </w:r>
    </w:p>
    <w:p w:rsidR="00AE6B77" w:rsidRPr="00E03791" w:rsidRDefault="006C79DB">
      <w:pPr>
        <w:pStyle w:val="BodyText"/>
        <w:spacing w:after="0"/>
        <w:ind w:left="720"/>
        <w:jc w:val="both"/>
        <w:outlineLvl w:val="0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ИЧП проектен координатор – достапен во текот на целата мисија</w:t>
      </w:r>
    </w:p>
    <w:p w:rsidR="00AE6B77" w:rsidRPr="00E03791" w:rsidRDefault="006C79DB">
      <w:pPr>
        <w:pStyle w:val="BodyText"/>
        <w:spacing w:after="0"/>
        <w:ind w:left="720"/>
        <w:jc w:val="both"/>
        <w:outlineLvl w:val="0"/>
        <w:rPr>
          <w:rFonts w:asciiTheme="minorHAnsi" w:hAnsiTheme="minorHAnsi" w:cs="Arial"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color w:val="000000"/>
          <w:sz w:val="22"/>
          <w:szCs w:val="22"/>
          <w:lang w:val="mk-MK"/>
        </w:rPr>
        <w:t>ИЧП проектен асистент- организатор на настани- достапен во текот на целата мисија.</w:t>
      </w:r>
    </w:p>
    <w:p w:rsidR="00AE6B77" w:rsidRPr="00E03791" w:rsidRDefault="00AE6B77">
      <w:pPr>
        <w:pStyle w:val="BodyText"/>
        <w:spacing w:after="0"/>
        <w:jc w:val="both"/>
        <w:rPr>
          <w:rFonts w:asciiTheme="minorHAnsi" w:hAnsiTheme="minorHAnsi" w:cs="Arial"/>
          <w:color w:val="000000"/>
          <w:sz w:val="22"/>
          <w:szCs w:val="22"/>
          <w:lang w:val="mk-MK"/>
        </w:rPr>
      </w:pPr>
    </w:p>
    <w:p w:rsidR="001B448A" w:rsidRPr="00E03791" w:rsidRDefault="001B448A" w:rsidP="001B448A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 xml:space="preserve">3.5 </w:t>
      </w:r>
      <w:r w:rsidR="006C79DB"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Плаќање</w:t>
      </w:r>
    </w:p>
    <w:p w:rsidR="00AE6B77" w:rsidRPr="00E03791" w:rsidRDefault="006C79DB" w:rsidP="001B448A">
      <w:pPr>
        <w:spacing w:after="0" w:line="240" w:lineRule="auto"/>
        <w:jc w:val="both"/>
        <w:rPr>
          <w:rFonts w:asciiTheme="minorHAnsi" w:hAnsiTheme="minorHAnsi"/>
        </w:rPr>
      </w:pPr>
      <w:r w:rsidRPr="00E03791">
        <w:rPr>
          <w:rFonts w:asciiTheme="minorHAnsi" w:eastAsia="Times New Roman" w:hAnsiTheme="minorHAnsi" w:cs="Arial"/>
          <w:color w:val="000000"/>
        </w:rPr>
        <w:t xml:space="preserve">Плаќањето ќе биде извршено </w:t>
      </w:r>
      <w:r w:rsidR="004B34A1" w:rsidRPr="00E03791">
        <w:rPr>
          <w:rFonts w:asciiTheme="minorHAnsi" w:eastAsia="Times New Roman" w:hAnsiTheme="minorHAnsi" w:cs="Arial"/>
          <w:color w:val="000000"/>
        </w:rPr>
        <w:t xml:space="preserve">100% </w:t>
      </w:r>
      <w:r w:rsidRPr="00E03791">
        <w:rPr>
          <w:rFonts w:asciiTheme="minorHAnsi" w:eastAsia="Times New Roman" w:hAnsiTheme="minorHAnsi" w:cs="Arial"/>
          <w:color w:val="000000"/>
        </w:rPr>
        <w:t xml:space="preserve">по целосно извршување на услугите предвидени во овој повик. 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p w:rsidR="00AE6B77" w:rsidRPr="00E03791" w:rsidRDefault="006C79DB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  <w:r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lastRenderedPageBreak/>
        <w:t>3.</w:t>
      </w:r>
      <w:r w:rsidR="001B448A"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6</w:t>
      </w:r>
      <w:r w:rsidRPr="00E03791">
        <w:rPr>
          <w:rFonts w:asciiTheme="minorHAnsi" w:hAnsiTheme="minorHAnsi" w:cs="Arial"/>
          <w:b/>
          <w:color w:val="000000"/>
          <w:sz w:val="22"/>
          <w:szCs w:val="22"/>
          <w:lang w:val="mk-MK"/>
        </w:rPr>
        <w:t>. Библиографија и документација</w:t>
      </w:r>
    </w:p>
    <w:p w:rsidR="00AE6B77" w:rsidRPr="00E03791" w:rsidRDefault="00AE6B77">
      <w:pPr>
        <w:pStyle w:val="BodyText"/>
        <w:spacing w:after="0"/>
        <w:outlineLvl w:val="0"/>
        <w:rPr>
          <w:rFonts w:asciiTheme="minorHAnsi" w:hAnsiTheme="minorHAnsi" w:cs="Arial"/>
          <w:b/>
          <w:color w:val="000000"/>
          <w:sz w:val="22"/>
          <w:szCs w:val="22"/>
          <w:lang w:val="mk-MK"/>
        </w:rPr>
      </w:pPr>
    </w:p>
    <w:p w:rsidR="00AE6B77" w:rsidRPr="00E03791" w:rsidRDefault="006C79DB" w:rsidP="001B448A">
      <w:pPr>
        <w:widowControl w:val="0"/>
        <w:spacing w:after="0" w:line="240" w:lineRule="auto"/>
        <w:jc w:val="both"/>
        <w:rPr>
          <w:rFonts w:asciiTheme="minorHAnsi" w:hAnsiTheme="minorHAnsi" w:cs="Arial"/>
        </w:rPr>
      </w:pPr>
      <w:r w:rsidRPr="00E03791">
        <w:rPr>
          <w:rFonts w:asciiTheme="minorHAnsi" w:hAnsiTheme="minorHAnsi" w:cs="Arial"/>
          <w:color w:val="000000"/>
        </w:rPr>
        <w:t>Во функција на успешно извршување на задачата на експертите ќе им биде ставена на располагање сета потребната документација со која располагаат ИЧП и ЦУП.</w:t>
      </w:r>
      <w:r w:rsidR="001B448A" w:rsidRPr="00E03791">
        <w:rPr>
          <w:rFonts w:asciiTheme="minorHAnsi" w:hAnsiTheme="minorHAnsi" w:cs="Arial"/>
        </w:rPr>
        <w:t xml:space="preserve"> </w:t>
      </w:r>
    </w:p>
    <w:p w:rsidR="00AE6B77" w:rsidRPr="00E03791" w:rsidRDefault="00AE6B77">
      <w:pPr>
        <w:tabs>
          <w:tab w:val="left" w:pos="7075"/>
        </w:tabs>
        <w:spacing w:after="0" w:line="240" w:lineRule="auto"/>
        <w:rPr>
          <w:rFonts w:asciiTheme="minorHAnsi" w:hAnsiTheme="minorHAnsi"/>
        </w:rPr>
      </w:pPr>
    </w:p>
    <w:sectPr w:rsidR="00AE6B77" w:rsidRPr="00E037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5" w:right="1440" w:bottom="1440" w:left="1440" w:header="568" w:footer="846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B2" w:rsidRDefault="00474CB2">
      <w:pPr>
        <w:spacing w:after="0" w:line="240" w:lineRule="auto"/>
      </w:pPr>
      <w:r>
        <w:separator/>
      </w:r>
    </w:p>
  </w:endnote>
  <w:endnote w:type="continuationSeparator" w:id="0">
    <w:p w:rsidR="00474CB2" w:rsidRDefault="004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1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77" w:rsidRDefault="006C79DB">
    <w:pPr>
      <w:pStyle w:val="Footer"/>
      <w:pBdr>
        <w:top w:val="single" w:sz="4" w:space="1" w:color="00000A"/>
      </w:pBdr>
      <w:jc w:val="right"/>
    </w:pPr>
    <w:r>
      <w:fldChar w:fldCharType="begin"/>
    </w:r>
    <w:r>
      <w:instrText>PAGE</w:instrText>
    </w:r>
    <w:r>
      <w:fldChar w:fldCharType="separate"/>
    </w:r>
    <w:r w:rsidR="002C0D5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77" w:rsidRDefault="00AE6B77">
    <w:pPr>
      <w:pStyle w:val="Footer"/>
      <w:jc w:val="right"/>
    </w:pPr>
  </w:p>
  <w:p w:rsidR="00AE6B77" w:rsidRDefault="00AE6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B2" w:rsidRDefault="00474CB2">
      <w:pPr>
        <w:spacing w:after="0" w:line="240" w:lineRule="auto"/>
      </w:pPr>
      <w:r>
        <w:separator/>
      </w:r>
    </w:p>
  </w:footnote>
  <w:footnote w:type="continuationSeparator" w:id="0">
    <w:p w:rsidR="00474CB2" w:rsidRDefault="004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77" w:rsidRDefault="00AE6B77">
    <w:pPr>
      <w:pStyle w:val="Header"/>
    </w:pPr>
  </w:p>
  <w:p w:rsidR="00AE6B77" w:rsidRDefault="006C79DB">
    <w:pPr>
      <w:pStyle w:val="Header"/>
      <w:pBdr>
        <w:bottom w:val="single" w:sz="4" w:space="1" w:color="00000A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t>Истражувачко новинарство – чувар на демократијата и човековите права</w:t>
    </w:r>
  </w:p>
  <w:p w:rsidR="00AE6B77" w:rsidRDefault="00AE6B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77" w:rsidRDefault="006C79DB">
    <w:pPr>
      <w:spacing w:after="0" w:line="240" w:lineRule="auto"/>
    </w:pPr>
    <w:r>
      <w:rPr>
        <w:noProof/>
        <w:lang w:val="en-US"/>
      </w:rPr>
      <w:drawing>
        <wp:inline distT="0" distB="0" distL="0" distR="0" wp14:anchorId="0DF24A32" wp14:editId="23150C73">
          <wp:extent cx="1309370" cy="641985"/>
          <wp:effectExtent l="0" t="0" r="0" b="0"/>
          <wp:docPr id="1" name="Picture 1" descr="Logo CUP-ANG POSLE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CUP-ANG POSLED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  <w:szCs w:val="18"/>
      </w:rPr>
      <w:t xml:space="preserve">„Истражувачко новинарство -  чувар на демократијата </w:t>
    </w:r>
    <w:r>
      <w:rPr>
        <w:rFonts w:ascii="Times New Roman" w:hAnsi="Times New Roman"/>
        <w:noProof/>
        <w:sz w:val="18"/>
        <w:szCs w:val="18"/>
        <w:lang w:val="en-US"/>
      </w:rPr>
      <w:drawing>
        <wp:inline distT="0" distB="0" distL="0" distR="0" wp14:anchorId="798B58A9" wp14:editId="71D55722">
          <wp:extent cx="1327785" cy="588010"/>
          <wp:effectExtent l="0" t="0" r="0" b="0"/>
          <wp:docPr id="2" name="Picture 42" descr="F:\CUP\MEDIA\Investigative Journalism\IH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2" descr="F:\CUP\MEDIA\Investigative Journalism\IHR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B77" w:rsidRDefault="006C79DB">
    <w:pPr>
      <w:spacing w:after="0" w:line="240" w:lineRule="auto"/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и човековите права“</w:t>
    </w:r>
    <w:r>
      <w:rPr>
        <w:rFonts w:ascii="Times New Roman" w:hAnsi="Times New Roman"/>
        <w:b/>
        <w:sz w:val="28"/>
        <w:szCs w:val="28"/>
      </w:rPr>
      <w:br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9F2"/>
    <w:multiLevelType w:val="multilevel"/>
    <w:tmpl w:val="023AE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6EC44A9"/>
    <w:multiLevelType w:val="multilevel"/>
    <w:tmpl w:val="817AA14C"/>
    <w:lvl w:ilvl="0">
      <w:start w:val="1"/>
      <w:numFmt w:val="decimal"/>
      <w:lvlText w:val="%1)"/>
      <w:lvlJc w:val="left"/>
      <w:pPr>
        <w:ind w:left="1095" w:hanging="375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30E3D"/>
    <w:multiLevelType w:val="multilevel"/>
    <w:tmpl w:val="D0EEB5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85884"/>
    <w:multiLevelType w:val="multilevel"/>
    <w:tmpl w:val="273A26E8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127342"/>
    <w:multiLevelType w:val="multilevel"/>
    <w:tmpl w:val="12662B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FB1FC6"/>
    <w:multiLevelType w:val="multilevel"/>
    <w:tmpl w:val="5DE46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713002D4"/>
    <w:multiLevelType w:val="multilevel"/>
    <w:tmpl w:val="41DAB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36D7664"/>
    <w:multiLevelType w:val="multilevel"/>
    <w:tmpl w:val="606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9A04B08"/>
    <w:multiLevelType w:val="multilevel"/>
    <w:tmpl w:val="573E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77"/>
    <w:rsid w:val="000B166C"/>
    <w:rsid w:val="000E553D"/>
    <w:rsid w:val="001B448A"/>
    <w:rsid w:val="00253D4C"/>
    <w:rsid w:val="002C0D5E"/>
    <w:rsid w:val="0038086A"/>
    <w:rsid w:val="003A51F0"/>
    <w:rsid w:val="00474CB2"/>
    <w:rsid w:val="004B34A1"/>
    <w:rsid w:val="004E5171"/>
    <w:rsid w:val="005C60BA"/>
    <w:rsid w:val="005F2736"/>
    <w:rsid w:val="006908AD"/>
    <w:rsid w:val="006C79DB"/>
    <w:rsid w:val="00714DC8"/>
    <w:rsid w:val="007649B3"/>
    <w:rsid w:val="008352B0"/>
    <w:rsid w:val="00905820"/>
    <w:rsid w:val="00A54369"/>
    <w:rsid w:val="00AA59AC"/>
    <w:rsid w:val="00AA6B05"/>
    <w:rsid w:val="00AE6B77"/>
    <w:rsid w:val="00B304D8"/>
    <w:rsid w:val="00B9711F"/>
    <w:rsid w:val="00BA27D0"/>
    <w:rsid w:val="00C21761"/>
    <w:rsid w:val="00C91FA1"/>
    <w:rsid w:val="00CA367F"/>
    <w:rsid w:val="00CC69CF"/>
    <w:rsid w:val="00DE7DEF"/>
    <w:rsid w:val="00E03791"/>
    <w:rsid w:val="00E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C01DE-CA9F-46CF-BD22-B2C4EAF0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200" w:line="276" w:lineRule="auto"/>
    </w:pPr>
    <w:rPr>
      <w:color w:val="00000A"/>
      <w:sz w:val="22"/>
      <w:szCs w:val="22"/>
      <w:lang w:val="mk-MK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qFormat/>
    <w:rPr>
      <w:lang w:eastAsia="en-US"/>
    </w:rPr>
  </w:style>
  <w:style w:type="character" w:styleId="FootnoteReference">
    <w:name w:val="footnote reference"/>
    <w:qFormat/>
    <w:rPr>
      <w:rFonts w:ascii="Times New Roman" w:hAnsi="Times New Roman"/>
      <w:sz w:val="16"/>
      <w:szCs w:val="16"/>
      <w:vertAlign w:val="superscript"/>
    </w:rPr>
  </w:style>
  <w:style w:type="character" w:customStyle="1" w:styleId="FootnoteTextChar1">
    <w:name w:val="Footnote Text Char1"/>
    <w:qFormat/>
    <w:rPr>
      <w:rFonts w:ascii="Times New Roman" w:eastAsia="Times New Roman" w:hAnsi="Times New Roman"/>
      <w:sz w:val="22"/>
      <w:szCs w:val="22"/>
      <w:lang w:val="en-GB" w:eastAsia="en-US"/>
    </w:rPr>
  </w:style>
  <w:style w:type="character" w:customStyle="1" w:styleId="HeaderChar">
    <w:name w:val="Header Cha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qFormat/>
    <w:rPr>
      <w:sz w:val="22"/>
      <w:szCs w:val="22"/>
      <w:lang w:eastAsia="en-US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qFormat/>
    <w:rPr>
      <w:rFonts w:ascii="Arial" w:eastAsia="Times New Roman" w:hAnsi="Arial"/>
      <w:b/>
      <w:sz w:val="24"/>
      <w:u w:val="single"/>
      <w:lang w:val="en-GB"/>
    </w:rPr>
  </w:style>
  <w:style w:type="character" w:customStyle="1" w:styleId="Heading2Char">
    <w:name w:val="Heading 2 Char"/>
    <w:basedOn w:val="DefaultParagraphFont"/>
    <w:qFormat/>
    <w:rPr>
      <w:rFonts w:ascii="Arial" w:eastAsia="Times New Roman" w:hAnsi="Arial"/>
      <w:b/>
      <w:sz w:val="28"/>
      <w:lang w:val="en-GB"/>
    </w:rPr>
  </w:style>
  <w:style w:type="character" w:customStyle="1" w:styleId="Heading3Char">
    <w:name w:val="Heading 3 Char"/>
    <w:basedOn w:val="DefaultParagraphFont"/>
    <w:qFormat/>
    <w:rPr>
      <w:rFonts w:ascii="Cambria" w:eastAsia="Calibri" w:hAnsi="Cambria" w:cs="Times New Roman"/>
      <w:color w:val="243F60"/>
      <w:sz w:val="24"/>
      <w:szCs w:val="24"/>
      <w:lang w:val="mk-MK"/>
    </w:rPr>
  </w:style>
  <w:style w:type="character" w:customStyle="1" w:styleId="BodyTextChar">
    <w:name w:val="Body Text Char"/>
    <w:basedOn w:val="DefaultParagraphFont"/>
    <w:qFormat/>
    <w:rPr>
      <w:rFonts w:ascii="Arial" w:eastAsia="Times New Roman" w:hAnsi="Arial"/>
      <w:sz w:val="24"/>
      <w:lang w:val="en-GB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lang w:val="mk-MK"/>
    </w:rPr>
  </w:style>
  <w:style w:type="character" w:customStyle="1" w:styleId="CommentSubjectChar">
    <w:name w:val="Comment Subject Char"/>
    <w:basedOn w:val="CommentTextChar"/>
    <w:qFormat/>
    <w:rPr>
      <w:b/>
      <w:bCs/>
      <w:lang w:val="mk-MK"/>
    </w:rPr>
  </w:style>
  <w:style w:type="character" w:customStyle="1" w:styleId="BodyTextIndentChar">
    <w:name w:val="Body Text Indent Char"/>
    <w:basedOn w:val="DefaultParagraphFont"/>
    <w:qFormat/>
    <w:rPr>
      <w:sz w:val="22"/>
      <w:szCs w:val="22"/>
      <w:lang w:val="mk-M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Aria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Arial"/>
    </w:rPr>
  </w:style>
  <w:style w:type="character" w:customStyle="1" w:styleId="ListLabel48">
    <w:name w:val="ListLabel 48"/>
    <w:qFormat/>
    <w:rPr>
      <w:rFonts w:eastAsia="Calibri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Calibri" w:cs="Aria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Arial" w:eastAsia="Calibri" w:hAnsi="Arial" w:cs="Aria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ascii="Arial" w:hAnsi="Arial" w:cs="Aria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ascii="Arial" w:hAnsi="Arial" w:cs="Aria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Arial" w:eastAsia="Times New Roman" w:hAnsi="Arial"/>
      <w:sz w:val="24"/>
      <w:szCs w:val="20"/>
      <w:lang w:val="en-GB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autoRedefine/>
    <w:qFormat/>
    <w:pPr>
      <w:widowControl w:val="0"/>
      <w:spacing w:after="80" w:line="240" w:lineRule="auto"/>
      <w:ind w:left="142" w:hanging="142"/>
      <w:jc w:val="both"/>
    </w:pPr>
    <w:rPr>
      <w:rFonts w:ascii="Times New Roman" w:eastAsia="Times New Roman" w:hAnsi="Times New Roman"/>
      <w:lang w:val="en-GB"/>
    </w:rPr>
  </w:style>
  <w:style w:type="paragraph" w:customStyle="1" w:styleId="1">
    <w:name w:val="1"/>
    <w:basedOn w:val="Normal"/>
    <w:qFormat/>
    <w:pPr>
      <w:spacing w:after="160" w:line="240" w:lineRule="exact"/>
    </w:pPr>
    <w:rPr>
      <w:rFonts w:ascii="Times New Roman" w:hAnsi="Times New Roman"/>
      <w:sz w:val="16"/>
      <w:szCs w:val="16"/>
      <w:vertAlign w:val="superscript"/>
      <w:lang w:eastAsia="mk-M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Normalvovlecen">
    <w:name w:val="Normal vovlecen"/>
    <w:basedOn w:val="Normal"/>
    <w:qFormat/>
    <w:pPr>
      <w:spacing w:after="0" w:line="360" w:lineRule="atLeast"/>
      <w:ind w:firstLine="1134"/>
    </w:pPr>
    <w:rPr>
      <w:rFonts w:ascii="Macedonian Tms" w:eastAsia="Times New Roman" w:hAnsi="Macedonian Tms"/>
      <w:sz w:val="24"/>
      <w:szCs w:val="20"/>
      <w:lang w:val="en-US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A00C-8D78-4D4E-A872-2352C9B1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2016-11-25T15:29:00Z</cp:lastPrinted>
  <dcterms:created xsi:type="dcterms:W3CDTF">2016-12-25T15:26:00Z</dcterms:created>
  <dcterms:modified xsi:type="dcterms:W3CDTF">2016-12-25T15:26:00Z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